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7501956E" w:rsidR="009A049D" w:rsidRPr="004717E0" w:rsidRDefault="009A049D" w:rsidP="006E0DC7">
      <w:pPr>
        <w:pStyle w:val="Header"/>
        <w:rPr>
          <w:rFonts w:eastAsia="SimSun" w:cs="Arial"/>
          <w:sz w:val="22"/>
          <w:szCs w:val="22"/>
          <w:lang w:eastAsia="zh-CN"/>
        </w:rPr>
      </w:pPr>
      <w:bookmarkStart w:id="0" w:name="OLE_LINK39"/>
      <w:r w:rsidRPr="004717E0">
        <w:rPr>
          <w:rFonts w:eastAsia="SimSun" w:cs="Arial"/>
          <w:sz w:val="22"/>
          <w:szCs w:val="22"/>
          <w:lang w:eastAsia="zh-CN"/>
        </w:rPr>
        <w:t>3GPP TSG-RAN WG2 Meeting #1</w:t>
      </w:r>
      <w:r w:rsidR="00925390">
        <w:rPr>
          <w:rFonts w:eastAsia="SimSun" w:cs="Arial"/>
          <w:sz w:val="22"/>
          <w:szCs w:val="22"/>
          <w:lang w:eastAsia="zh-CN"/>
        </w:rPr>
        <w:t>2</w:t>
      </w:r>
      <w:r w:rsidR="00413EF9">
        <w:rPr>
          <w:rFonts w:eastAsia="SimSun" w:cs="Arial"/>
          <w:sz w:val="22"/>
          <w:szCs w:val="22"/>
          <w:lang w:eastAsia="zh-CN"/>
        </w:rPr>
        <w:t>1</w:t>
      </w:r>
      <w:r w:rsidR="00240F9D" w:rsidRPr="004717E0">
        <w:rPr>
          <w:rFonts w:cs="Arial"/>
        </w:rPr>
        <w:tab/>
      </w:r>
      <w:r w:rsidRPr="004717E0">
        <w:rPr>
          <w:rFonts w:cs="Arial"/>
        </w:rPr>
        <w:tab/>
      </w:r>
      <w:r w:rsidRPr="004717E0">
        <w:rPr>
          <w:rFonts w:eastAsia="SimSun" w:cs="Arial"/>
          <w:sz w:val="22"/>
          <w:szCs w:val="22"/>
          <w:lang w:eastAsia="zh-CN"/>
        </w:rPr>
        <w:t>R2-</w:t>
      </w:r>
      <w:r w:rsidR="00554D9C" w:rsidRPr="004717E0">
        <w:rPr>
          <w:rFonts w:eastAsia="SimSun" w:cs="Arial"/>
          <w:sz w:val="22"/>
          <w:szCs w:val="22"/>
          <w:lang w:eastAsia="zh-CN"/>
        </w:rPr>
        <w:t>2</w:t>
      </w:r>
      <w:r w:rsidR="00AD4EC5">
        <w:rPr>
          <w:rFonts w:eastAsia="SimSun" w:cs="Arial"/>
          <w:sz w:val="22"/>
          <w:szCs w:val="22"/>
          <w:lang w:eastAsia="zh-CN"/>
        </w:rPr>
        <w:t>30</w:t>
      </w:r>
      <w:r w:rsidR="00CE05C2">
        <w:rPr>
          <w:rFonts w:eastAsia="SimSun" w:cs="Arial"/>
          <w:sz w:val="22"/>
          <w:szCs w:val="22"/>
          <w:lang w:eastAsia="zh-CN"/>
        </w:rPr>
        <w:t>1421</w:t>
      </w:r>
    </w:p>
    <w:bookmarkEnd w:id="0"/>
    <w:p w14:paraId="5B38EC88" w14:textId="26DCC999" w:rsidR="002071E9" w:rsidRPr="004717E0" w:rsidRDefault="00413EF9" w:rsidP="006E0DC7">
      <w:pPr>
        <w:pStyle w:val="Header"/>
        <w:rPr>
          <w:rFonts w:cs="Arial"/>
          <w:sz w:val="22"/>
          <w:szCs w:val="22"/>
          <w:highlight w:val="yellow"/>
          <w:vertAlign w:val="superscript"/>
        </w:rPr>
      </w:pPr>
      <w:r>
        <w:rPr>
          <w:rFonts w:eastAsia="SimSun" w:cs="Arial"/>
          <w:sz w:val="22"/>
          <w:szCs w:val="22"/>
          <w:lang w:eastAsia="zh-CN"/>
        </w:rPr>
        <w:t>27</w:t>
      </w:r>
      <w:r w:rsidR="00E539E2" w:rsidRPr="004717E0">
        <w:rPr>
          <w:rFonts w:eastAsia="SimSun" w:cs="Arial"/>
          <w:sz w:val="22"/>
          <w:szCs w:val="22"/>
          <w:vertAlign w:val="superscript"/>
          <w:lang w:eastAsia="zh-CN"/>
        </w:rPr>
        <w:t>t</w:t>
      </w:r>
      <w:r w:rsidR="00720E1C" w:rsidRPr="004717E0">
        <w:rPr>
          <w:rFonts w:eastAsia="SimSun" w:cs="Arial"/>
          <w:sz w:val="22"/>
          <w:szCs w:val="22"/>
          <w:vertAlign w:val="superscript"/>
          <w:lang w:eastAsia="zh-CN"/>
        </w:rPr>
        <w:t>h</w:t>
      </w:r>
      <w:r w:rsidR="000E225D" w:rsidRPr="004717E0">
        <w:rPr>
          <w:rFonts w:eastAsia="SimSun" w:cs="Arial"/>
          <w:sz w:val="22"/>
          <w:szCs w:val="22"/>
          <w:lang w:eastAsia="zh-CN"/>
        </w:rPr>
        <w:t xml:space="preserve"> </w:t>
      </w:r>
      <w:r>
        <w:rPr>
          <w:rFonts w:eastAsia="SimSun" w:cs="Arial"/>
          <w:sz w:val="22"/>
          <w:szCs w:val="22"/>
          <w:lang w:eastAsia="zh-CN"/>
        </w:rPr>
        <w:t>February</w:t>
      </w:r>
      <w:r w:rsidR="002071E9" w:rsidRPr="004717E0">
        <w:rPr>
          <w:rFonts w:eastAsia="SimSun" w:cs="Arial"/>
          <w:sz w:val="22"/>
          <w:szCs w:val="22"/>
          <w:lang w:eastAsia="zh-CN"/>
        </w:rPr>
        <w:t xml:space="preserve"> – </w:t>
      </w:r>
      <w:r>
        <w:rPr>
          <w:rFonts w:eastAsia="SimSun" w:cs="Arial"/>
          <w:sz w:val="22"/>
          <w:szCs w:val="22"/>
          <w:lang w:eastAsia="zh-CN"/>
        </w:rPr>
        <w:t>3</w:t>
      </w:r>
      <w:r>
        <w:rPr>
          <w:rFonts w:eastAsia="SimSun" w:cs="Arial"/>
          <w:sz w:val="22"/>
          <w:szCs w:val="22"/>
          <w:vertAlign w:val="superscript"/>
          <w:lang w:eastAsia="zh-CN"/>
        </w:rPr>
        <w:t>rd</w:t>
      </w:r>
      <w:r w:rsidR="000E225D" w:rsidRPr="004717E0">
        <w:rPr>
          <w:rFonts w:eastAsia="SimSun" w:cs="Arial"/>
          <w:sz w:val="22"/>
          <w:szCs w:val="22"/>
          <w:lang w:eastAsia="zh-CN"/>
        </w:rPr>
        <w:t xml:space="preserve"> </w:t>
      </w:r>
      <w:r>
        <w:rPr>
          <w:rFonts w:eastAsia="SimSun" w:cs="Arial"/>
          <w:sz w:val="22"/>
          <w:szCs w:val="22"/>
          <w:lang w:eastAsia="zh-CN"/>
        </w:rPr>
        <w:t>March</w:t>
      </w:r>
      <w:r w:rsidR="00FA6651" w:rsidRPr="004717E0">
        <w:rPr>
          <w:rFonts w:eastAsia="SimSun" w:cs="Arial"/>
          <w:sz w:val="22"/>
          <w:szCs w:val="22"/>
          <w:lang w:eastAsia="zh-CN"/>
        </w:rPr>
        <w:t xml:space="preserve"> </w:t>
      </w:r>
      <w:r w:rsidR="002071E9" w:rsidRPr="004717E0">
        <w:rPr>
          <w:rFonts w:eastAsia="SimSun" w:cs="Arial"/>
          <w:sz w:val="22"/>
          <w:szCs w:val="22"/>
          <w:lang w:eastAsia="zh-CN"/>
        </w:rPr>
        <w:t>202</w:t>
      </w:r>
      <w:r>
        <w:rPr>
          <w:rFonts w:eastAsia="SimSun" w:cs="Arial"/>
          <w:sz w:val="22"/>
          <w:szCs w:val="22"/>
          <w:lang w:eastAsia="zh-CN"/>
        </w:rPr>
        <w:t>3</w:t>
      </w:r>
    </w:p>
    <w:p w14:paraId="481A258E" w14:textId="77777777" w:rsidR="00911ECB" w:rsidRPr="004717E0" w:rsidRDefault="00911ECB" w:rsidP="006E0DC7">
      <w:pPr>
        <w:pStyle w:val="Header"/>
        <w:rPr>
          <w:rFonts w:eastAsia="SimSun" w:cs="Arial"/>
          <w:bCs/>
          <w:sz w:val="22"/>
          <w:szCs w:val="22"/>
          <w:lang w:eastAsia="zh-CN"/>
        </w:rPr>
      </w:pPr>
    </w:p>
    <w:p w14:paraId="2E1FA2FC" w14:textId="26E1CC1E" w:rsidR="00911ECB" w:rsidRPr="004717E0" w:rsidRDefault="00911ECB" w:rsidP="006E0DC7">
      <w:pPr>
        <w:pStyle w:val="Header"/>
        <w:tabs>
          <w:tab w:val="clear" w:pos="4536"/>
          <w:tab w:val="left" w:pos="1800"/>
        </w:tabs>
        <w:spacing w:after="120"/>
        <w:ind w:left="1800" w:hanging="1800"/>
        <w:rPr>
          <w:rFonts w:eastAsia="SimSun" w:cs="Arial"/>
          <w:sz w:val="22"/>
          <w:szCs w:val="22"/>
          <w:lang w:eastAsia="zh-CN"/>
        </w:rPr>
      </w:pPr>
      <w:r w:rsidRPr="004717E0">
        <w:rPr>
          <w:rFonts w:cs="Arial"/>
          <w:sz w:val="22"/>
          <w:szCs w:val="22"/>
        </w:rPr>
        <w:t>Source:</w:t>
      </w:r>
      <w:r w:rsidRPr="004717E0">
        <w:rPr>
          <w:rFonts w:cs="Arial"/>
          <w:sz w:val="22"/>
          <w:szCs w:val="22"/>
        </w:rPr>
        <w:tab/>
      </w:r>
      <w:r w:rsidR="00240F9D" w:rsidRPr="004717E0">
        <w:rPr>
          <w:rFonts w:eastAsia="SimSun" w:cs="Arial"/>
          <w:sz w:val="22"/>
          <w:szCs w:val="22"/>
          <w:lang w:eastAsia="zh-CN"/>
        </w:rPr>
        <w:t>Qualcomm</w:t>
      </w:r>
      <w:r w:rsidR="00034D7E" w:rsidRPr="004717E0">
        <w:rPr>
          <w:rFonts w:eastAsia="SimSun" w:cs="Arial"/>
          <w:sz w:val="22"/>
          <w:szCs w:val="22"/>
          <w:lang w:eastAsia="zh-CN"/>
        </w:rPr>
        <w:t xml:space="preserve"> Incorporated </w:t>
      </w:r>
    </w:p>
    <w:p w14:paraId="2EC1765B" w14:textId="2D93895A" w:rsidR="00FF5D17" w:rsidRPr="004717E0"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4717E0">
        <w:rPr>
          <w:rFonts w:cs="Arial"/>
          <w:sz w:val="22"/>
          <w:szCs w:val="22"/>
        </w:rPr>
        <w:t>Title:</w:t>
      </w:r>
      <w:bookmarkStart w:id="1" w:name="Title"/>
      <w:bookmarkEnd w:id="1"/>
      <w:r w:rsidRPr="004717E0">
        <w:rPr>
          <w:rFonts w:cs="Arial"/>
          <w:sz w:val="22"/>
          <w:szCs w:val="22"/>
        </w:rPr>
        <w:tab/>
      </w:r>
      <w:r w:rsidR="00EC42AA" w:rsidRPr="00683257">
        <w:rPr>
          <w:rFonts w:cs="Arial"/>
          <w:sz w:val="22"/>
          <w:szCs w:val="22"/>
        </w:rPr>
        <w:t>Dis</w:t>
      </w:r>
      <w:r w:rsidR="004957C4" w:rsidRPr="00683257">
        <w:rPr>
          <w:rFonts w:cs="Arial"/>
          <w:sz w:val="22"/>
          <w:szCs w:val="22"/>
        </w:rPr>
        <w:t>cussion on SHR for inter-RAT handover and successful PSCell change reporting</w:t>
      </w:r>
    </w:p>
    <w:p w14:paraId="6ED5674A" w14:textId="4B579348" w:rsidR="00911ECB" w:rsidRPr="004717E0"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4717E0">
        <w:rPr>
          <w:rFonts w:cs="Arial"/>
          <w:sz w:val="22"/>
          <w:szCs w:val="22"/>
        </w:rPr>
        <w:t>Agenda Item:</w:t>
      </w:r>
      <w:bookmarkStart w:id="2" w:name="Source"/>
      <w:bookmarkEnd w:id="2"/>
      <w:r w:rsidRPr="004717E0">
        <w:rPr>
          <w:rFonts w:cs="Arial"/>
          <w:sz w:val="22"/>
          <w:szCs w:val="22"/>
        </w:rPr>
        <w:tab/>
      </w:r>
      <w:r w:rsidR="00E03A7C" w:rsidRPr="004717E0">
        <w:rPr>
          <w:rFonts w:cs="Arial"/>
          <w:sz w:val="22"/>
          <w:szCs w:val="22"/>
        </w:rPr>
        <w:t>8</w:t>
      </w:r>
      <w:r w:rsidR="00756D2B" w:rsidRPr="004717E0">
        <w:rPr>
          <w:rFonts w:cs="Arial"/>
          <w:sz w:val="22"/>
          <w:szCs w:val="22"/>
        </w:rPr>
        <w:t>.13.</w:t>
      </w:r>
      <w:r w:rsidR="00EC42AA" w:rsidRPr="004717E0">
        <w:rPr>
          <w:rFonts w:cs="Arial"/>
          <w:sz w:val="22"/>
          <w:szCs w:val="22"/>
        </w:rPr>
        <w:t>4 SHR and SPCR</w:t>
      </w:r>
      <w:r w:rsidR="00756D2B" w:rsidRPr="004717E0">
        <w:rPr>
          <w:rFonts w:cs="Arial"/>
          <w:sz w:val="22"/>
          <w:szCs w:val="22"/>
        </w:rPr>
        <w:t xml:space="preserve"> </w:t>
      </w:r>
    </w:p>
    <w:p w14:paraId="0BE87C8B" w14:textId="77777777" w:rsidR="00911ECB" w:rsidRPr="004717E0" w:rsidRDefault="00911ECB" w:rsidP="006E0DC7">
      <w:pPr>
        <w:pStyle w:val="Header"/>
        <w:tabs>
          <w:tab w:val="left" w:pos="1800"/>
        </w:tabs>
        <w:rPr>
          <w:rFonts w:eastAsia="SimSun" w:cs="Arial"/>
          <w:sz w:val="22"/>
          <w:szCs w:val="22"/>
          <w:lang w:eastAsia="zh-CN"/>
        </w:rPr>
      </w:pPr>
      <w:r w:rsidRPr="004717E0">
        <w:rPr>
          <w:rFonts w:cs="Arial"/>
          <w:sz w:val="22"/>
          <w:szCs w:val="22"/>
        </w:rPr>
        <w:t>Document for:</w:t>
      </w:r>
      <w:r w:rsidRPr="004717E0">
        <w:rPr>
          <w:rFonts w:cs="Arial"/>
          <w:sz w:val="22"/>
          <w:szCs w:val="22"/>
        </w:rPr>
        <w:tab/>
      </w:r>
      <w:bookmarkStart w:id="3" w:name="DocumentFor"/>
      <w:bookmarkEnd w:id="3"/>
      <w:r w:rsidRPr="004717E0">
        <w:rPr>
          <w:rFonts w:eastAsia="SimSun" w:cs="Arial"/>
          <w:sz w:val="22"/>
          <w:szCs w:val="22"/>
          <w:lang w:eastAsia="zh-CN"/>
        </w:rPr>
        <w:t>Discussion and Decision</w:t>
      </w:r>
    </w:p>
    <w:p w14:paraId="70FEA14E" w14:textId="18838F09" w:rsidR="00911ECB" w:rsidRPr="004717E0"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4717E0">
        <w:rPr>
          <w:b w:val="0"/>
          <w:bCs w:val="0"/>
          <w:kern w:val="0"/>
          <w:sz w:val="36"/>
          <w:szCs w:val="20"/>
          <w:lang w:val="en-GB" w:eastAsia="en-GB"/>
        </w:rPr>
        <w:t>Introduction</w:t>
      </w:r>
      <w:r w:rsidRPr="004717E0">
        <w:rPr>
          <w:b w:val="0"/>
          <w:bCs w:val="0"/>
          <w:kern w:val="0"/>
          <w:sz w:val="36"/>
          <w:szCs w:val="20"/>
          <w:lang w:val="en-GB"/>
        </w:rPr>
        <w:t xml:space="preserve"> &amp; Background</w:t>
      </w:r>
    </w:p>
    <w:p w14:paraId="72C5F8C3" w14:textId="0A9395B6" w:rsidR="00F65882" w:rsidRPr="004717E0" w:rsidRDefault="0007147A" w:rsidP="006E0DC7">
      <w:pPr>
        <w:pStyle w:val="BodyText"/>
        <w:jc w:val="left"/>
        <w:rPr>
          <w:rFonts w:ascii="Arial" w:hAnsi="Arial" w:cs="Arial"/>
        </w:rPr>
      </w:pPr>
      <w:r w:rsidRPr="004717E0">
        <w:rPr>
          <w:rFonts w:ascii="Arial" w:hAnsi="Arial" w:cs="Arial"/>
        </w:rPr>
        <w:t>Rel-18, SON/MDT WID [1]</w:t>
      </w:r>
      <w:r w:rsidR="00D91057" w:rsidRPr="004717E0">
        <w:rPr>
          <w:rFonts w:ascii="Arial" w:hAnsi="Arial" w:cs="Arial"/>
        </w:rPr>
        <w:t xml:space="preserve"> has the following as one of the objectives</w:t>
      </w:r>
      <w:r w:rsidR="00A9048A" w:rsidRPr="004717E0">
        <w:rPr>
          <w:rFonts w:ascii="Arial" w:hAnsi="Arial" w:cs="Arial"/>
        </w:rPr>
        <w:t>,</w:t>
      </w:r>
    </w:p>
    <w:p w14:paraId="451C949E" w14:textId="77777777" w:rsidR="00834896" w:rsidRPr="004717E0" w:rsidRDefault="00834896" w:rsidP="00834896">
      <w:pPr>
        <w:spacing w:before="120" w:line="280" w:lineRule="atLeast"/>
        <w:rPr>
          <w:rFonts w:ascii="Arial" w:eastAsia="SimSun" w:hAnsi="Arial" w:cs="Arial"/>
        </w:rPr>
      </w:pPr>
      <w:r w:rsidRPr="004717E0">
        <w:rPr>
          <w:rFonts w:ascii="Arial" w:eastAsia="SimSun" w:hAnsi="Arial" w:cs="Arial"/>
        </w:rPr>
        <w:t>Support of SON/MDT enhancements for [RAN3, RAN2]:</w:t>
      </w:r>
    </w:p>
    <w:p w14:paraId="747E3FD8" w14:textId="77777777"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hAnsi="Arial" w:cs="Arial"/>
        </w:rPr>
        <w:t xml:space="preserve">MR-DC </w:t>
      </w:r>
      <w:r w:rsidRPr="004717E0">
        <w:rPr>
          <w:rFonts w:ascii="Arial" w:eastAsia="SimSun" w:hAnsi="Arial" w:cs="Arial"/>
        </w:rPr>
        <w:t>CPAC</w:t>
      </w:r>
    </w:p>
    <w:p w14:paraId="2A64487E" w14:textId="7C4BFBFF"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hAnsi="Arial" w:cs="Arial"/>
        </w:rPr>
        <w:t>S</w:t>
      </w:r>
      <w:r w:rsidRPr="004717E0">
        <w:rPr>
          <w:rFonts w:ascii="Arial" w:eastAsia="SimSun" w:hAnsi="Arial" w:cs="Arial"/>
        </w:rPr>
        <w:t>uccessful PSCell change report</w:t>
      </w:r>
    </w:p>
    <w:p w14:paraId="643DC989" w14:textId="57025EF2"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hAnsi="Arial" w:cs="Arial"/>
        </w:rPr>
        <w:t>Successful Handover Report (e.g.</w:t>
      </w:r>
      <w:r w:rsidR="0024358C" w:rsidRPr="004717E0">
        <w:rPr>
          <w:rFonts w:ascii="Arial" w:hAnsi="Arial" w:cs="Arial"/>
        </w:rPr>
        <w:t>,</w:t>
      </w:r>
      <w:r w:rsidRPr="004717E0">
        <w:rPr>
          <w:rFonts w:ascii="Arial" w:hAnsi="Arial" w:cs="Arial"/>
        </w:rPr>
        <w:t xml:space="preserve"> inter-RAT)</w:t>
      </w:r>
    </w:p>
    <w:p w14:paraId="31697CB7" w14:textId="77777777"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eastAsia="SimSun" w:hAnsi="Arial" w:cs="Arial"/>
        </w:rPr>
        <w:t xml:space="preserve">NPN </w:t>
      </w:r>
    </w:p>
    <w:p w14:paraId="36E23A32" w14:textId="77777777" w:rsidR="00834896" w:rsidRPr="004717E0" w:rsidRDefault="00834896" w:rsidP="00885D32">
      <w:pPr>
        <w:pStyle w:val="ListParagraph"/>
        <w:numPr>
          <w:ilvl w:val="0"/>
          <w:numId w:val="7"/>
        </w:numPr>
        <w:spacing w:before="120" w:after="160" w:line="280" w:lineRule="atLeast"/>
        <w:rPr>
          <w:rFonts w:ascii="Arial" w:eastAsia="SimSun" w:hAnsi="Arial" w:cs="Arial"/>
          <w:strike/>
        </w:rPr>
      </w:pPr>
      <w:r w:rsidRPr="004717E0">
        <w:rPr>
          <w:rFonts w:ascii="Arial" w:eastAsia="SimSun" w:hAnsi="Arial" w:cs="Arial"/>
        </w:rPr>
        <w:t>RACH report</w:t>
      </w:r>
    </w:p>
    <w:p w14:paraId="1FDF4F1B" w14:textId="77777777"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eastAsia="SimSun" w:hAnsi="Arial" w:cs="Arial"/>
        </w:rPr>
        <w:t>fast MCG recovery</w:t>
      </w:r>
    </w:p>
    <w:p w14:paraId="74D87EE2" w14:textId="37F3D62E" w:rsidR="00FD14CC" w:rsidRPr="004717E0" w:rsidRDefault="00834896" w:rsidP="006E0DC7">
      <w:pPr>
        <w:pStyle w:val="ListParagraph"/>
        <w:numPr>
          <w:ilvl w:val="0"/>
          <w:numId w:val="7"/>
        </w:numPr>
        <w:spacing w:before="120" w:after="160" w:line="280" w:lineRule="atLeast"/>
        <w:rPr>
          <w:rFonts w:ascii="Arial" w:eastAsia="SimSun" w:hAnsi="Arial" w:cs="Arial"/>
        </w:rPr>
      </w:pPr>
      <w:r w:rsidRPr="004717E0">
        <w:rPr>
          <w:rFonts w:ascii="Arial" w:hAnsi="Arial" w:cs="Arial"/>
        </w:rPr>
        <w:t>NR-U (MRO and UL MLB)</w:t>
      </w:r>
    </w:p>
    <w:p w14:paraId="0408C907" w14:textId="70463BAE" w:rsidR="0007339F" w:rsidRPr="004717E0" w:rsidRDefault="00FA1164" w:rsidP="006E0DC7">
      <w:pPr>
        <w:pStyle w:val="BodyText"/>
        <w:jc w:val="left"/>
        <w:rPr>
          <w:rFonts w:ascii="Arial" w:hAnsi="Arial" w:cs="Arial"/>
        </w:rPr>
      </w:pPr>
      <w:r w:rsidRPr="004717E0">
        <w:rPr>
          <w:rFonts w:ascii="Arial" w:hAnsi="Arial" w:cs="Arial"/>
        </w:rPr>
        <w:t xml:space="preserve">This paper </w:t>
      </w:r>
      <w:r w:rsidR="00E178C2" w:rsidRPr="004717E0">
        <w:rPr>
          <w:rFonts w:ascii="Arial" w:hAnsi="Arial" w:cs="Arial"/>
        </w:rPr>
        <w:t>will discuss</w:t>
      </w:r>
      <w:r w:rsidRPr="004717E0">
        <w:rPr>
          <w:rFonts w:ascii="Arial" w:hAnsi="Arial" w:cs="Arial"/>
        </w:rPr>
        <w:t xml:space="preserve"> </w:t>
      </w:r>
      <w:r w:rsidR="008C386A" w:rsidRPr="004717E0">
        <w:rPr>
          <w:rFonts w:ascii="Arial" w:hAnsi="Arial" w:cs="Arial"/>
        </w:rPr>
        <w:t xml:space="preserve">SON enhancements for </w:t>
      </w:r>
      <w:r w:rsidR="00A96FC0" w:rsidRPr="004717E0">
        <w:rPr>
          <w:rFonts w:ascii="Arial" w:hAnsi="Arial" w:cs="Arial"/>
        </w:rPr>
        <w:t xml:space="preserve">the </w:t>
      </w:r>
      <w:r w:rsidR="00033132" w:rsidRPr="004717E0">
        <w:rPr>
          <w:rFonts w:ascii="Arial" w:hAnsi="Arial" w:cs="Arial"/>
        </w:rPr>
        <w:t xml:space="preserve">SHR </w:t>
      </w:r>
      <w:r w:rsidR="00656D14" w:rsidRPr="004717E0">
        <w:rPr>
          <w:rFonts w:ascii="Arial" w:hAnsi="Arial" w:cs="Arial"/>
        </w:rPr>
        <w:t xml:space="preserve">for inter-RAT handover </w:t>
      </w:r>
      <w:r w:rsidR="00033132" w:rsidRPr="004717E0">
        <w:rPr>
          <w:rFonts w:ascii="Arial" w:hAnsi="Arial" w:cs="Arial"/>
        </w:rPr>
        <w:t xml:space="preserve">and </w:t>
      </w:r>
      <w:r w:rsidR="00656D14" w:rsidRPr="004717E0">
        <w:rPr>
          <w:rFonts w:ascii="Arial" w:hAnsi="Arial" w:cs="Arial"/>
        </w:rPr>
        <w:t>successful PSCell change reporting</w:t>
      </w:r>
      <w:r w:rsidR="00216DC0" w:rsidRPr="004717E0">
        <w:rPr>
          <w:rFonts w:ascii="Arial" w:hAnsi="Arial" w:cs="Arial"/>
        </w:rPr>
        <w:t xml:space="preserve">. </w:t>
      </w:r>
    </w:p>
    <w:p w14:paraId="7F579DA1" w14:textId="77777777" w:rsidR="00D00A71" w:rsidRPr="004717E0"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4717E0">
        <w:rPr>
          <w:b w:val="0"/>
          <w:bCs w:val="0"/>
          <w:kern w:val="0"/>
          <w:sz w:val="36"/>
          <w:szCs w:val="20"/>
          <w:lang w:val="fr-FR"/>
        </w:rPr>
        <w:t>Discussion</w:t>
      </w:r>
    </w:p>
    <w:p w14:paraId="234A94E5" w14:textId="77777777" w:rsidR="00032EDC" w:rsidRPr="004717E0" w:rsidRDefault="00032EDC" w:rsidP="00032EDC">
      <w:pPr>
        <w:pStyle w:val="ListParagraph"/>
        <w:numPr>
          <w:ilvl w:val="0"/>
          <w:numId w:val="8"/>
        </w:numPr>
        <w:rPr>
          <w:rFonts w:ascii="Arial" w:hAnsi="Arial" w:cs="Arial"/>
          <w:b/>
          <w:bCs/>
          <w:sz w:val="22"/>
          <w:szCs w:val="22"/>
          <w:lang w:val="en-GB" w:eastAsia="zh-CN"/>
        </w:rPr>
      </w:pPr>
      <w:r w:rsidRPr="004717E0">
        <w:rPr>
          <w:rFonts w:ascii="Arial" w:hAnsi="Arial" w:cs="Arial"/>
          <w:b/>
          <w:bCs/>
          <w:sz w:val="22"/>
          <w:szCs w:val="22"/>
          <w:lang w:val="en-GB" w:eastAsia="zh-CN"/>
        </w:rPr>
        <w:t>SON/MDT enhancements for successful handover report</w:t>
      </w:r>
    </w:p>
    <w:p w14:paraId="17C2FB96" w14:textId="7E8A359A" w:rsidR="00561DAA" w:rsidRDefault="00032EDC" w:rsidP="00C60C6E">
      <w:pPr>
        <w:spacing w:before="100" w:beforeAutospacing="1" w:after="100" w:afterAutospacing="1"/>
        <w:textAlignment w:val="baseline"/>
        <w:rPr>
          <w:rFonts w:ascii="Arial" w:hAnsi="Arial" w:cs="Arial"/>
          <w:szCs w:val="20"/>
          <w:lang w:val="en-GB"/>
        </w:rPr>
      </w:pPr>
      <w:r w:rsidRPr="004717E0">
        <w:rPr>
          <w:rFonts w:ascii="Arial" w:hAnsi="Arial" w:cs="Arial"/>
          <w:szCs w:val="20"/>
          <w:lang w:val="en-GB"/>
        </w:rPr>
        <w:t xml:space="preserve">In </w:t>
      </w:r>
      <w:r w:rsidR="00A66C56">
        <w:rPr>
          <w:rFonts w:ascii="Arial" w:hAnsi="Arial" w:cs="Arial"/>
          <w:szCs w:val="20"/>
          <w:lang w:val="en-GB"/>
        </w:rPr>
        <w:t xml:space="preserve">the </w:t>
      </w:r>
      <w:r w:rsidR="00C60C6E">
        <w:rPr>
          <w:rFonts w:ascii="Arial" w:hAnsi="Arial" w:cs="Arial"/>
          <w:szCs w:val="20"/>
          <w:lang w:val="en-GB"/>
        </w:rPr>
        <w:t>RAN2#120 meeting</w:t>
      </w:r>
      <w:r w:rsidR="00057375">
        <w:rPr>
          <w:rFonts w:ascii="Arial" w:hAnsi="Arial" w:cs="Arial"/>
          <w:szCs w:val="20"/>
          <w:lang w:val="en-GB"/>
        </w:rPr>
        <w:t xml:space="preserve"> [</w:t>
      </w:r>
      <w:r w:rsidR="00F302A9">
        <w:rPr>
          <w:rFonts w:ascii="Arial" w:hAnsi="Arial" w:cs="Arial"/>
          <w:szCs w:val="20"/>
          <w:lang w:val="en-GB"/>
        </w:rPr>
        <w:t>2</w:t>
      </w:r>
      <w:r w:rsidR="00057375">
        <w:rPr>
          <w:rFonts w:ascii="Arial" w:hAnsi="Arial" w:cs="Arial"/>
          <w:szCs w:val="20"/>
          <w:lang w:val="en-GB"/>
        </w:rPr>
        <w:t>]</w:t>
      </w:r>
      <w:r w:rsidR="00C60C6E">
        <w:rPr>
          <w:rFonts w:ascii="Arial" w:hAnsi="Arial" w:cs="Arial"/>
          <w:szCs w:val="20"/>
          <w:lang w:val="en-GB"/>
        </w:rPr>
        <w:t xml:space="preserve">, RAN2 </w:t>
      </w:r>
      <w:r w:rsidR="0003259F">
        <w:rPr>
          <w:rFonts w:ascii="Arial" w:hAnsi="Arial" w:cs="Arial"/>
          <w:szCs w:val="20"/>
          <w:lang w:val="en-GB"/>
        </w:rPr>
        <w:t>confirmed to only support T310 and T312</w:t>
      </w:r>
      <w:r w:rsidR="00A66C56">
        <w:rPr>
          <w:rFonts w:ascii="Arial" w:hAnsi="Arial" w:cs="Arial"/>
          <w:szCs w:val="20"/>
          <w:lang w:val="en-GB"/>
        </w:rPr>
        <w:t>-</w:t>
      </w:r>
      <w:r w:rsidR="0003259F">
        <w:rPr>
          <w:rFonts w:ascii="Arial" w:hAnsi="Arial" w:cs="Arial"/>
          <w:szCs w:val="20"/>
          <w:lang w:val="en-GB"/>
        </w:rPr>
        <w:t xml:space="preserve">related triggered conditions </w:t>
      </w:r>
      <w:r w:rsidR="00A66C56">
        <w:rPr>
          <w:rFonts w:ascii="Arial" w:hAnsi="Arial" w:cs="Arial"/>
          <w:szCs w:val="20"/>
          <w:lang w:val="en-GB"/>
        </w:rPr>
        <w:t xml:space="preserve">for inter-RAT SHR for mobility from NR to LTE. </w:t>
      </w:r>
      <w:r w:rsidR="00596598">
        <w:rPr>
          <w:rFonts w:ascii="Arial" w:hAnsi="Arial" w:cs="Arial"/>
          <w:szCs w:val="20"/>
          <w:lang w:val="en-GB"/>
        </w:rPr>
        <w:t xml:space="preserve">This avoids any specification impact </w:t>
      </w:r>
      <w:r w:rsidR="003C5C1B">
        <w:rPr>
          <w:rFonts w:ascii="Arial" w:hAnsi="Arial" w:cs="Arial"/>
          <w:szCs w:val="20"/>
          <w:lang w:val="en-GB"/>
        </w:rPr>
        <w:t>on</w:t>
      </w:r>
      <w:r w:rsidR="00596598">
        <w:rPr>
          <w:rFonts w:ascii="Arial" w:hAnsi="Arial" w:cs="Arial"/>
          <w:szCs w:val="20"/>
          <w:lang w:val="en-GB"/>
        </w:rPr>
        <w:t xml:space="preserve"> the LTE specification</w:t>
      </w:r>
      <w:r w:rsidR="00AD3B2D">
        <w:rPr>
          <w:rFonts w:ascii="Arial" w:hAnsi="Arial" w:cs="Arial"/>
          <w:szCs w:val="20"/>
          <w:lang w:val="en-GB"/>
        </w:rPr>
        <w:t xml:space="preserve">. </w:t>
      </w:r>
      <w:r w:rsidR="00BE2D8E">
        <w:rPr>
          <w:rFonts w:ascii="Arial" w:hAnsi="Arial" w:cs="Arial"/>
          <w:szCs w:val="20"/>
          <w:lang w:val="en-GB"/>
        </w:rPr>
        <w:t xml:space="preserve">Some details about the configuration and trigger conditions </w:t>
      </w:r>
      <w:r w:rsidR="003C5C1B">
        <w:rPr>
          <w:rFonts w:ascii="Arial" w:hAnsi="Arial" w:cs="Arial"/>
          <w:szCs w:val="20"/>
          <w:lang w:val="en-GB"/>
        </w:rPr>
        <w:t xml:space="preserve">of these timers are still FFS. </w:t>
      </w:r>
      <w:r w:rsidR="00092A01">
        <w:rPr>
          <w:rFonts w:ascii="Arial" w:hAnsi="Arial" w:cs="Arial"/>
          <w:szCs w:val="20"/>
          <w:lang w:val="en-GB"/>
        </w:rPr>
        <w:t xml:space="preserve">We believe RAN2 agreements on intra-RAT SHR can be extended to the </w:t>
      </w:r>
      <w:r w:rsidR="00B33079">
        <w:rPr>
          <w:rFonts w:ascii="Arial" w:hAnsi="Arial" w:cs="Arial"/>
          <w:szCs w:val="20"/>
          <w:lang w:val="en-GB"/>
        </w:rPr>
        <w:t xml:space="preserve">SHR for </w:t>
      </w:r>
      <w:r w:rsidR="00092A01">
        <w:rPr>
          <w:rFonts w:ascii="Arial" w:hAnsi="Arial" w:cs="Arial"/>
          <w:szCs w:val="20"/>
          <w:lang w:val="en-GB"/>
        </w:rPr>
        <w:t xml:space="preserve">inter-RAT mobility from </w:t>
      </w:r>
      <w:r w:rsidR="00B33079">
        <w:rPr>
          <w:rFonts w:ascii="Arial" w:hAnsi="Arial" w:cs="Arial"/>
          <w:szCs w:val="20"/>
          <w:lang w:val="en-GB"/>
        </w:rPr>
        <w:t>NR to LTE.</w:t>
      </w:r>
    </w:p>
    <w:p w14:paraId="18F62412" w14:textId="77777777" w:rsidR="004A55A7" w:rsidRPr="00DD0DF8" w:rsidRDefault="004A55A7" w:rsidP="004A55A7">
      <w:pPr>
        <w:pStyle w:val="paragraph"/>
        <w:textAlignment w:val="baseline"/>
        <w:rPr>
          <w:rFonts w:ascii="Arial" w:hAnsi="Arial" w:cs="Arial"/>
          <w:b/>
          <w:bCs/>
          <w:sz w:val="20"/>
          <w:szCs w:val="20"/>
          <w:lang w:val="en-GB"/>
        </w:rPr>
      </w:pPr>
      <w:r w:rsidRPr="00DD0DF8">
        <w:rPr>
          <w:rStyle w:val="normaltextrun"/>
          <w:rFonts w:ascii="Arial" w:hAnsi="Arial" w:cs="Arial"/>
          <w:b/>
          <w:bCs/>
          <w:sz w:val="20"/>
          <w:szCs w:val="20"/>
        </w:rPr>
        <w:t>Observation 1: In the RAN2#120-emeeting, RAN2 confirmed to only support T310 and T312 trigger conditions for inter-RAT SHR from NR to LTE.</w:t>
      </w:r>
      <w:r w:rsidRPr="00DD0DF8">
        <w:rPr>
          <w:rStyle w:val="eop"/>
          <w:rFonts w:ascii="Arial" w:hAnsi="Arial" w:cs="Arial"/>
          <w:b/>
          <w:bCs/>
          <w:sz w:val="20"/>
          <w:szCs w:val="20"/>
          <w:lang w:val="en-GB"/>
        </w:rPr>
        <w:t> </w:t>
      </w:r>
    </w:p>
    <w:p w14:paraId="35D29524" w14:textId="391DD3C1" w:rsidR="004A55A7" w:rsidRPr="00DD0DF8" w:rsidRDefault="004A55A7" w:rsidP="004A55A7">
      <w:pPr>
        <w:pStyle w:val="paragraph"/>
        <w:textAlignment w:val="baseline"/>
        <w:rPr>
          <w:rFonts w:ascii="Arial" w:hAnsi="Arial" w:cs="Arial"/>
          <w:b/>
          <w:bCs/>
          <w:sz w:val="20"/>
          <w:szCs w:val="20"/>
          <w:lang w:val="en-GB"/>
        </w:rPr>
      </w:pPr>
      <w:r w:rsidRPr="00DD0DF8">
        <w:rPr>
          <w:rStyle w:val="normaltextrun"/>
          <w:rFonts w:ascii="Arial" w:hAnsi="Arial" w:cs="Arial"/>
          <w:b/>
          <w:bCs/>
          <w:sz w:val="20"/>
          <w:szCs w:val="20"/>
        </w:rPr>
        <w:t xml:space="preserve">Proposal 1: </w:t>
      </w:r>
      <w:proofErr w:type="gramStart"/>
      <w:r w:rsidRPr="00DD0DF8">
        <w:rPr>
          <w:rStyle w:val="normaltextrun"/>
          <w:rFonts w:ascii="Arial" w:hAnsi="Arial" w:cs="Arial"/>
          <w:b/>
          <w:bCs/>
          <w:sz w:val="20"/>
          <w:szCs w:val="20"/>
        </w:rPr>
        <w:t>Similar to</w:t>
      </w:r>
      <w:proofErr w:type="gramEnd"/>
      <w:r w:rsidRPr="00DD0DF8">
        <w:rPr>
          <w:rStyle w:val="normaltextrun"/>
          <w:rFonts w:ascii="Arial" w:hAnsi="Arial" w:cs="Arial"/>
          <w:b/>
          <w:bCs/>
          <w:sz w:val="20"/>
          <w:szCs w:val="20"/>
        </w:rPr>
        <w:t xml:space="preserve"> the rel-17 intra-NR SHR report, the T310 and T312 threshold is provided to the UE by source-MN in the </w:t>
      </w:r>
      <w:proofErr w:type="spellStart"/>
      <w:r w:rsidRPr="00DD0DF8">
        <w:rPr>
          <w:rStyle w:val="normaltextrun"/>
          <w:rFonts w:ascii="Arial" w:hAnsi="Arial" w:cs="Arial"/>
          <w:b/>
          <w:bCs/>
          <w:sz w:val="20"/>
          <w:szCs w:val="20"/>
        </w:rPr>
        <w:t>otherConfig</w:t>
      </w:r>
      <w:proofErr w:type="spellEnd"/>
      <w:r w:rsidRPr="00DD0DF8">
        <w:rPr>
          <w:rStyle w:val="normaltextrun"/>
          <w:rFonts w:ascii="Arial" w:hAnsi="Arial" w:cs="Arial"/>
          <w:b/>
          <w:bCs/>
          <w:sz w:val="20"/>
          <w:szCs w:val="20"/>
        </w:rPr>
        <w:t>.</w:t>
      </w:r>
      <w:r w:rsidRPr="00DD0DF8">
        <w:rPr>
          <w:rStyle w:val="eop"/>
          <w:rFonts w:ascii="Arial" w:hAnsi="Arial" w:cs="Arial"/>
          <w:b/>
          <w:bCs/>
          <w:sz w:val="20"/>
          <w:szCs w:val="20"/>
          <w:lang w:val="en-GB"/>
        </w:rPr>
        <w:t> </w:t>
      </w:r>
    </w:p>
    <w:p w14:paraId="6AB04E4F" w14:textId="77777777" w:rsidR="004A55A7" w:rsidRPr="00DD0DF8" w:rsidRDefault="004A55A7" w:rsidP="004A55A7">
      <w:pPr>
        <w:pStyle w:val="paragraph"/>
        <w:textAlignment w:val="baseline"/>
        <w:rPr>
          <w:rFonts w:ascii="Arial" w:hAnsi="Arial" w:cs="Arial"/>
          <w:b/>
          <w:bCs/>
          <w:sz w:val="20"/>
          <w:szCs w:val="20"/>
          <w:lang w:val="en-GB"/>
        </w:rPr>
      </w:pPr>
      <w:r w:rsidRPr="00DD0DF8">
        <w:rPr>
          <w:rStyle w:val="normaltextrun"/>
          <w:rFonts w:ascii="Arial" w:hAnsi="Arial" w:cs="Arial"/>
          <w:b/>
          <w:bCs/>
          <w:sz w:val="20"/>
          <w:szCs w:val="20"/>
        </w:rPr>
        <w:t xml:space="preserve">Proposal 2: T310 and T312 thresholds are configured as the percentage of the timer value, </w:t>
      </w:r>
      <w:proofErr w:type="gramStart"/>
      <w:r w:rsidRPr="00DD0DF8">
        <w:rPr>
          <w:rStyle w:val="normaltextrun"/>
          <w:rFonts w:ascii="Arial" w:hAnsi="Arial" w:cs="Arial"/>
          <w:b/>
          <w:bCs/>
          <w:sz w:val="20"/>
          <w:szCs w:val="20"/>
        </w:rPr>
        <w:t>similar to</w:t>
      </w:r>
      <w:proofErr w:type="gramEnd"/>
      <w:r w:rsidRPr="00DD0DF8">
        <w:rPr>
          <w:rStyle w:val="normaltextrun"/>
          <w:rFonts w:ascii="Arial" w:hAnsi="Arial" w:cs="Arial"/>
          <w:b/>
          <w:bCs/>
          <w:sz w:val="20"/>
          <w:szCs w:val="20"/>
        </w:rPr>
        <w:t xml:space="preserve"> the threshold configured for intra-NR SHR.</w:t>
      </w:r>
      <w:r w:rsidRPr="00DD0DF8">
        <w:rPr>
          <w:rStyle w:val="eop"/>
          <w:rFonts w:ascii="Arial" w:hAnsi="Arial" w:cs="Arial"/>
          <w:b/>
          <w:bCs/>
          <w:sz w:val="20"/>
          <w:szCs w:val="20"/>
          <w:lang w:val="en-GB"/>
        </w:rPr>
        <w:t> </w:t>
      </w:r>
    </w:p>
    <w:p w14:paraId="08B90A70" w14:textId="625A60C1" w:rsidR="004A55A7" w:rsidRDefault="004A55A7" w:rsidP="004A55A7">
      <w:pPr>
        <w:pStyle w:val="paragraph"/>
        <w:textAlignment w:val="baseline"/>
        <w:rPr>
          <w:rStyle w:val="normaltextrun"/>
          <w:rFonts w:ascii="Arial" w:hAnsi="Arial" w:cs="Arial"/>
          <w:b/>
          <w:bCs/>
          <w:sz w:val="20"/>
          <w:szCs w:val="20"/>
        </w:rPr>
      </w:pPr>
      <w:r w:rsidRPr="00DD0DF8">
        <w:rPr>
          <w:rStyle w:val="normaltextrun"/>
          <w:rFonts w:ascii="Arial" w:hAnsi="Arial" w:cs="Arial"/>
          <w:b/>
          <w:bCs/>
          <w:sz w:val="20"/>
          <w:szCs w:val="20"/>
        </w:rPr>
        <w:t>Proposal 3: There is no need for cross-RAT reporting of inter-RAT SHR, i.e., UE reports the SHR report to the network when it come</w:t>
      </w:r>
      <w:r w:rsidR="00DD0DF8" w:rsidRPr="00DD0DF8">
        <w:rPr>
          <w:rStyle w:val="normaltextrun"/>
          <w:rFonts w:ascii="Arial" w:hAnsi="Arial" w:cs="Arial"/>
          <w:b/>
          <w:bCs/>
          <w:sz w:val="20"/>
          <w:szCs w:val="20"/>
        </w:rPr>
        <w:t xml:space="preserve">s back to NR. </w:t>
      </w:r>
    </w:p>
    <w:p w14:paraId="69E09DA9" w14:textId="590126F0" w:rsidR="008B7092" w:rsidRDefault="008B7092" w:rsidP="004A55A7">
      <w:pPr>
        <w:pStyle w:val="paragraph"/>
        <w:textAlignment w:val="baseline"/>
        <w:rPr>
          <w:rStyle w:val="normaltextrun"/>
          <w:rFonts w:ascii="Arial" w:hAnsi="Arial" w:cs="Arial"/>
          <w:sz w:val="20"/>
          <w:szCs w:val="20"/>
        </w:rPr>
      </w:pPr>
      <w:r w:rsidRPr="008B7092">
        <w:rPr>
          <w:rStyle w:val="normaltextrun"/>
          <w:rFonts w:ascii="Arial" w:hAnsi="Arial" w:cs="Arial"/>
          <w:sz w:val="20"/>
          <w:szCs w:val="20"/>
        </w:rPr>
        <w:t xml:space="preserve">In </w:t>
      </w:r>
      <w:r>
        <w:rPr>
          <w:rStyle w:val="normaltextrun"/>
          <w:rFonts w:ascii="Arial" w:hAnsi="Arial" w:cs="Arial"/>
          <w:sz w:val="20"/>
          <w:szCs w:val="20"/>
        </w:rPr>
        <w:t xml:space="preserve">the </w:t>
      </w:r>
      <w:r w:rsidRPr="008B7092">
        <w:rPr>
          <w:rStyle w:val="normaltextrun"/>
          <w:rFonts w:ascii="Arial" w:hAnsi="Arial" w:cs="Arial"/>
          <w:sz w:val="20"/>
          <w:szCs w:val="20"/>
        </w:rPr>
        <w:t>RAN3#110 meeting</w:t>
      </w:r>
      <w:r>
        <w:rPr>
          <w:rStyle w:val="normaltextrun"/>
          <w:rFonts w:ascii="Arial" w:hAnsi="Arial" w:cs="Arial"/>
          <w:sz w:val="20"/>
          <w:szCs w:val="20"/>
        </w:rPr>
        <w:t xml:space="preserve">, RAN3 further </w:t>
      </w:r>
      <w:r w:rsidR="00075FBF" w:rsidRPr="00075FBF">
        <w:rPr>
          <w:rStyle w:val="normaltextrun"/>
          <w:rFonts w:ascii="Arial" w:hAnsi="Arial" w:cs="Arial"/>
          <w:sz w:val="20"/>
          <w:szCs w:val="20"/>
        </w:rPr>
        <w:t>agreed that the inter-RAT SHR from LTE to NR can be supported (at least for T304</w:t>
      </w:r>
      <w:r w:rsidR="00075FBF">
        <w:rPr>
          <w:rStyle w:val="normaltextrun"/>
          <w:rFonts w:ascii="Arial" w:hAnsi="Arial" w:cs="Arial"/>
          <w:sz w:val="20"/>
          <w:szCs w:val="20"/>
        </w:rPr>
        <w:t>-</w:t>
      </w:r>
      <w:r w:rsidR="00075FBF" w:rsidRPr="00075FBF">
        <w:rPr>
          <w:rStyle w:val="normaltextrun"/>
          <w:rFonts w:ascii="Arial" w:hAnsi="Arial" w:cs="Arial"/>
          <w:sz w:val="20"/>
          <w:szCs w:val="20"/>
        </w:rPr>
        <w:t>related trigger</w:t>
      </w:r>
      <w:r w:rsidR="00075FBF">
        <w:rPr>
          <w:rStyle w:val="normaltextrun"/>
          <w:rFonts w:ascii="Arial" w:hAnsi="Arial" w:cs="Arial"/>
          <w:sz w:val="20"/>
          <w:szCs w:val="20"/>
        </w:rPr>
        <w:t>s</w:t>
      </w:r>
      <w:r w:rsidR="00075FBF" w:rsidRPr="00075FBF">
        <w:rPr>
          <w:rStyle w:val="normaltextrun"/>
          <w:rFonts w:ascii="Arial" w:hAnsi="Arial" w:cs="Arial"/>
          <w:sz w:val="20"/>
          <w:szCs w:val="20"/>
        </w:rPr>
        <w:t>) if there are no impacts to LTE.</w:t>
      </w:r>
    </w:p>
    <w:p w14:paraId="1C3F9FDA" w14:textId="52774888" w:rsidR="00490AFE" w:rsidRDefault="00651840" w:rsidP="004A55A7">
      <w:pPr>
        <w:pStyle w:val="paragraph"/>
        <w:textAlignment w:val="baseline"/>
        <w:rPr>
          <w:rStyle w:val="normaltextrun"/>
          <w:rFonts w:ascii="Arial" w:hAnsi="Arial" w:cs="Arial"/>
          <w:b/>
          <w:bCs/>
          <w:sz w:val="20"/>
          <w:szCs w:val="20"/>
        </w:rPr>
      </w:pPr>
      <w:r w:rsidRPr="00E46833">
        <w:rPr>
          <w:rStyle w:val="normaltextrun"/>
          <w:rFonts w:ascii="Arial" w:hAnsi="Arial" w:cs="Arial"/>
          <w:b/>
          <w:bCs/>
          <w:sz w:val="20"/>
          <w:szCs w:val="20"/>
        </w:rPr>
        <w:t xml:space="preserve">Proposal 4: </w:t>
      </w:r>
      <w:r w:rsidR="00B30542" w:rsidRPr="00E46833">
        <w:rPr>
          <w:rStyle w:val="normaltextrun"/>
          <w:rFonts w:ascii="Arial" w:hAnsi="Arial" w:cs="Arial"/>
          <w:b/>
          <w:bCs/>
          <w:sz w:val="20"/>
          <w:szCs w:val="20"/>
        </w:rPr>
        <w:t xml:space="preserve">To support </w:t>
      </w:r>
      <w:r w:rsidR="003A3966" w:rsidRPr="00E46833">
        <w:rPr>
          <w:rStyle w:val="normaltextrun"/>
          <w:rFonts w:ascii="Arial" w:hAnsi="Arial" w:cs="Arial"/>
          <w:b/>
          <w:bCs/>
          <w:sz w:val="20"/>
          <w:szCs w:val="20"/>
        </w:rPr>
        <w:t>inter-RAT SHR from LTE to NR</w:t>
      </w:r>
      <w:r w:rsidR="00B30542" w:rsidRPr="00E46833">
        <w:rPr>
          <w:rStyle w:val="normaltextrun"/>
          <w:rFonts w:ascii="Arial" w:hAnsi="Arial" w:cs="Arial"/>
          <w:b/>
          <w:bCs/>
          <w:sz w:val="20"/>
          <w:szCs w:val="20"/>
        </w:rPr>
        <w:t xml:space="preserve"> without having an LTE specification impact, RAN2 only supports </w:t>
      </w:r>
      <w:r w:rsidR="00E46833" w:rsidRPr="00E46833">
        <w:rPr>
          <w:rStyle w:val="normaltextrun"/>
          <w:rFonts w:ascii="Arial" w:hAnsi="Arial" w:cs="Arial"/>
          <w:b/>
          <w:bCs/>
          <w:sz w:val="20"/>
          <w:szCs w:val="20"/>
        </w:rPr>
        <w:t xml:space="preserve">the </w:t>
      </w:r>
      <w:r w:rsidR="00B30542" w:rsidRPr="00E46833">
        <w:rPr>
          <w:rStyle w:val="normaltextrun"/>
          <w:rFonts w:ascii="Arial" w:hAnsi="Arial" w:cs="Arial"/>
          <w:b/>
          <w:bCs/>
          <w:sz w:val="20"/>
          <w:szCs w:val="20"/>
        </w:rPr>
        <w:t>T304</w:t>
      </w:r>
      <w:r w:rsidR="00E46833" w:rsidRPr="00E46833">
        <w:rPr>
          <w:rStyle w:val="normaltextrun"/>
          <w:rFonts w:ascii="Arial" w:hAnsi="Arial" w:cs="Arial"/>
          <w:b/>
          <w:bCs/>
          <w:sz w:val="20"/>
          <w:szCs w:val="20"/>
        </w:rPr>
        <w:t xml:space="preserve"> threshold. </w:t>
      </w:r>
      <w:r w:rsidR="003A3966" w:rsidRPr="00E46833">
        <w:rPr>
          <w:rStyle w:val="normaltextrun"/>
          <w:rFonts w:ascii="Arial" w:hAnsi="Arial" w:cs="Arial"/>
          <w:b/>
          <w:bCs/>
          <w:sz w:val="20"/>
          <w:szCs w:val="20"/>
        </w:rPr>
        <w:t xml:space="preserve"> </w:t>
      </w:r>
    </w:p>
    <w:p w14:paraId="45265CE0" w14:textId="5B5CEC03" w:rsidR="00E46833" w:rsidRDefault="0070292B" w:rsidP="004A55A7">
      <w:pPr>
        <w:pStyle w:val="paragraph"/>
        <w:textAlignment w:val="baseline"/>
        <w:rPr>
          <w:rStyle w:val="normaltextrun"/>
          <w:rFonts w:ascii="Arial" w:hAnsi="Arial" w:cs="Arial"/>
          <w:b/>
          <w:bCs/>
          <w:sz w:val="20"/>
          <w:szCs w:val="20"/>
        </w:rPr>
      </w:pPr>
      <w:r>
        <w:rPr>
          <w:rStyle w:val="normaltextrun"/>
          <w:rFonts w:ascii="Arial" w:hAnsi="Arial" w:cs="Arial"/>
          <w:b/>
          <w:bCs/>
          <w:sz w:val="20"/>
          <w:szCs w:val="20"/>
        </w:rPr>
        <w:t xml:space="preserve">Proposal 5: </w:t>
      </w:r>
      <w:proofErr w:type="gramStart"/>
      <w:r>
        <w:rPr>
          <w:rStyle w:val="normaltextrun"/>
          <w:rFonts w:ascii="Arial" w:hAnsi="Arial" w:cs="Arial"/>
          <w:b/>
          <w:bCs/>
          <w:sz w:val="20"/>
          <w:szCs w:val="20"/>
        </w:rPr>
        <w:t>Similar to</w:t>
      </w:r>
      <w:proofErr w:type="gramEnd"/>
      <w:r>
        <w:rPr>
          <w:rStyle w:val="normaltextrun"/>
          <w:rFonts w:ascii="Arial" w:hAnsi="Arial" w:cs="Arial"/>
          <w:b/>
          <w:bCs/>
          <w:sz w:val="20"/>
          <w:szCs w:val="20"/>
        </w:rPr>
        <w:t xml:space="preserve"> intra-NR SHR, the T304 threshold is provide</w:t>
      </w:r>
      <w:r w:rsidR="00787C51">
        <w:rPr>
          <w:rStyle w:val="normaltextrun"/>
          <w:rFonts w:ascii="Arial" w:hAnsi="Arial" w:cs="Arial"/>
          <w:b/>
          <w:bCs/>
          <w:sz w:val="20"/>
          <w:szCs w:val="20"/>
        </w:rPr>
        <w:t>d</w:t>
      </w:r>
      <w:r>
        <w:rPr>
          <w:rStyle w:val="normaltextrun"/>
          <w:rFonts w:ascii="Arial" w:hAnsi="Arial" w:cs="Arial"/>
          <w:b/>
          <w:bCs/>
          <w:sz w:val="20"/>
          <w:szCs w:val="20"/>
        </w:rPr>
        <w:t xml:space="preserve"> by the target cell. </w:t>
      </w:r>
    </w:p>
    <w:p w14:paraId="16D72495" w14:textId="4627DFE0" w:rsidR="00787C51" w:rsidRPr="00E46833" w:rsidRDefault="00787C51" w:rsidP="004A55A7">
      <w:pPr>
        <w:pStyle w:val="paragraph"/>
        <w:textAlignment w:val="baseline"/>
        <w:rPr>
          <w:rFonts w:ascii="Arial" w:hAnsi="Arial" w:cs="Arial"/>
          <w:b/>
          <w:bCs/>
          <w:sz w:val="20"/>
          <w:szCs w:val="20"/>
          <w:lang w:val="en-GB"/>
        </w:rPr>
      </w:pPr>
      <w:r>
        <w:rPr>
          <w:rStyle w:val="normaltextrun"/>
          <w:rFonts w:ascii="Arial" w:hAnsi="Arial" w:cs="Arial"/>
          <w:b/>
          <w:bCs/>
          <w:sz w:val="20"/>
          <w:szCs w:val="20"/>
        </w:rPr>
        <w:lastRenderedPageBreak/>
        <w:t xml:space="preserve">Proposal 6: NR SHR is generated when </w:t>
      </w:r>
      <w:r w:rsidR="007B260B">
        <w:rPr>
          <w:rStyle w:val="normaltextrun"/>
          <w:rFonts w:ascii="Arial" w:hAnsi="Arial" w:cs="Arial"/>
          <w:b/>
          <w:bCs/>
          <w:sz w:val="20"/>
          <w:szCs w:val="20"/>
        </w:rPr>
        <w:t xml:space="preserve">the </w:t>
      </w:r>
      <w:r>
        <w:rPr>
          <w:rStyle w:val="normaltextrun"/>
          <w:rFonts w:ascii="Arial" w:hAnsi="Arial" w:cs="Arial"/>
          <w:b/>
          <w:bCs/>
          <w:sz w:val="20"/>
          <w:szCs w:val="20"/>
        </w:rPr>
        <w:t xml:space="preserve">T304 </w:t>
      </w:r>
      <w:r w:rsidR="007B260B">
        <w:rPr>
          <w:rStyle w:val="normaltextrun"/>
          <w:rFonts w:ascii="Arial" w:hAnsi="Arial" w:cs="Arial"/>
          <w:b/>
          <w:bCs/>
          <w:sz w:val="20"/>
          <w:szCs w:val="20"/>
        </w:rPr>
        <w:t>trigger condition meets</w:t>
      </w:r>
      <w:r w:rsidR="00025890">
        <w:rPr>
          <w:rStyle w:val="normaltextrun"/>
          <w:rFonts w:ascii="Arial" w:hAnsi="Arial" w:cs="Arial"/>
          <w:b/>
          <w:bCs/>
          <w:sz w:val="20"/>
          <w:szCs w:val="20"/>
        </w:rPr>
        <w:t xml:space="preserve"> during </w:t>
      </w:r>
      <w:r w:rsidR="00025890" w:rsidRPr="00E46833">
        <w:rPr>
          <w:rStyle w:val="normaltextrun"/>
          <w:rFonts w:ascii="Arial" w:hAnsi="Arial" w:cs="Arial"/>
          <w:b/>
          <w:bCs/>
          <w:sz w:val="20"/>
          <w:szCs w:val="20"/>
        </w:rPr>
        <w:t xml:space="preserve">inter-RAT </w:t>
      </w:r>
      <w:r w:rsidR="00025890">
        <w:rPr>
          <w:rStyle w:val="normaltextrun"/>
          <w:rFonts w:ascii="Arial" w:hAnsi="Arial" w:cs="Arial"/>
          <w:b/>
          <w:bCs/>
          <w:sz w:val="20"/>
          <w:szCs w:val="20"/>
        </w:rPr>
        <w:t>mobility</w:t>
      </w:r>
      <w:r w:rsidR="00025890" w:rsidRPr="00E46833">
        <w:rPr>
          <w:rStyle w:val="normaltextrun"/>
          <w:rFonts w:ascii="Arial" w:hAnsi="Arial" w:cs="Arial"/>
          <w:b/>
          <w:bCs/>
          <w:sz w:val="20"/>
          <w:szCs w:val="20"/>
        </w:rPr>
        <w:t xml:space="preserve"> from LTE to NR</w:t>
      </w:r>
      <w:r w:rsidR="00025890">
        <w:rPr>
          <w:rStyle w:val="normaltextrun"/>
          <w:rFonts w:ascii="Arial" w:hAnsi="Arial" w:cs="Arial"/>
          <w:b/>
          <w:bCs/>
          <w:sz w:val="20"/>
          <w:szCs w:val="20"/>
        </w:rPr>
        <w:t>.</w:t>
      </w:r>
      <w:r w:rsidR="007B260B">
        <w:rPr>
          <w:rStyle w:val="normaltextrun"/>
          <w:rFonts w:ascii="Arial" w:hAnsi="Arial" w:cs="Arial"/>
          <w:b/>
          <w:bCs/>
          <w:sz w:val="20"/>
          <w:szCs w:val="20"/>
        </w:rPr>
        <w:t xml:space="preserve"> </w:t>
      </w:r>
    </w:p>
    <w:p w14:paraId="07B99D3C" w14:textId="03D6BF5E" w:rsidR="00A13FE7" w:rsidRPr="004717E0" w:rsidRDefault="00A13FE7" w:rsidP="00885D32">
      <w:pPr>
        <w:pStyle w:val="ListParagraph"/>
        <w:numPr>
          <w:ilvl w:val="0"/>
          <w:numId w:val="8"/>
        </w:numPr>
        <w:rPr>
          <w:rFonts w:ascii="Arial" w:hAnsi="Arial" w:cs="Arial"/>
          <w:b/>
          <w:bCs/>
          <w:sz w:val="22"/>
          <w:szCs w:val="22"/>
          <w:lang w:val="en-GB" w:eastAsia="zh-CN"/>
        </w:rPr>
      </w:pPr>
      <w:r w:rsidRPr="004717E0">
        <w:rPr>
          <w:rFonts w:ascii="Arial" w:hAnsi="Arial" w:cs="Arial"/>
          <w:b/>
          <w:bCs/>
          <w:sz w:val="22"/>
          <w:szCs w:val="22"/>
          <w:lang w:val="en-GB" w:eastAsia="zh-CN"/>
        </w:rPr>
        <w:t xml:space="preserve">SON/MDT enhancements for </w:t>
      </w:r>
      <w:r w:rsidR="00267DC4" w:rsidRPr="004717E0">
        <w:rPr>
          <w:rFonts w:ascii="Arial" w:hAnsi="Arial" w:cs="Arial"/>
          <w:b/>
          <w:bCs/>
          <w:sz w:val="22"/>
          <w:szCs w:val="22"/>
          <w:lang w:val="en-GB" w:eastAsia="zh-CN"/>
        </w:rPr>
        <w:t>SPR</w:t>
      </w:r>
    </w:p>
    <w:p w14:paraId="607829A0" w14:textId="214617CA" w:rsidR="0037751C" w:rsidRPr="004717E0" w:rsidRDefault="0037751C" w:rsidP="0037751C">
      <w:pPr>
        <w:rPr>
          <w:rFonts w:ascii="Arial" w:hAnsi="Arial" w:cs="Arial"/>
          <w:b/>
          <w:bCs/>
          <w:sz w:val="22"/>
          <w:szCs w:val="22"/>
          <w:lang w:val="en-GB" w:eastAsia="zh-CN"/>
        </w:rPr>
      </w:pPr>
    </w:p>
    <w:p w14:paraId="190B592F" w14:textId="72DBB487" w:rsidR="0037751C" w:rsidRPr="004717E0" w:rsidRDefault="0037751C" w:rsidP="0037751C">
      <w:pPr>
        <w:rPr>
          <w:rFonts w:ascii="Arial" w:hAnsi="Arial" w:cs="Arial"/>
          <w:szCs w:val="20"/>
          <w:lang w:val="en-GB" w:eastAsia="zh-CN"/>
        </w:rPr>
      </w:pPr>
      <w:r w:rsidRPr="004717E0">
        <w:rPr>
          <w:rFonts w:ascii="Arial" w:hAnsi="Arial" w:cs="Arial"/>
          <w:szCs w:val="20"/>
          <w:lang w:val="en-GB" w:eastAsia="zh-CN"/>
        </w:rPr>
        <w:t>In RAN2#119bis-emeeting [</w:t>
      </w:r>
      <w:r w:rsidR="00390CE6">
        <w:rPr>
          <w:rFonts w:ascii="Arial" w:hAnsi="Arial" w:cs="Arial"/>
          <w:szCs w:val="20"/>
          <w:lang w:val="en-GB" w:eastAsia="zh-CN"/>
        </w:rPr>
        <w:t>3</w:t>
      </w:r>
      <w:r w:rsidRPr="004717E0">
        <w:rPr>
          <w:rFonts w:ascii="Arial" w:hAnsi="Arial" w:cs="Arial"/>
          <w:szCs w:val="20"/>
          <w:lang w:val="en-GB" w:eastAsia="zh-CN"/>
        </w:rPr>
        <w:t>], RAN2 made the following agreements,</w:t>
      </w:r>
    </w:p>
    <w:p w14:paraId="6DF91B5D" w14:textId="089BAEBB" w:rsidR="0037751C" w:rsidRPr="004717E0" w:rsidRDefault="0037751C" w:rsidP="0037751C">
      <w:pPr>
        <w:rPr>
          <w:rFonts w:ascii="Arial" w:hAnsi="Arial" w:cs="Arial"/>
          <w:szCs w:val="20"/>
          <w:lang w:val="en-GB" w:eastAsia="zh-CN"/>
        </w:rPr>
      </w:pPr>
    </w:p>
    <w:p w14:paraId="6B49C9FB"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Agreements</w:t>
      </w:r>
    </w:p>
    <w:p w14:paraId="08D67F8C"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1</w:t>
      </w:r>
      <w:r w:rsidRPr="004717E0">
        <w:rPr>
          <w:rFonts w:cs="Arial"/>
        </w:rPr>
        <w:tab/>
        <w:t>RAN2 confirms the scenarios for SPR for NR-DC, including:</w:t>
      </w:r>
    </w:p>
    <w:p w14:paraId="27E7DDED"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w:t>
      </w:r>
      <w:r w:rsidRPr="004717E0">
        <w:rPr>
          <w:rFonts w:cs="Arial"/>
        </w:rPr>
        <w:tab/>
        <w:t>SN- and MN-initiated classic PSCell change / CPC</w:t>
      </w:r>
    </w:p>
    <w:p w14:paraId="05398C31"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w:t>
      </w:r>
      <w:r w:rsidRPr="004717E0">
        <w:rPr>
          <w:rFonts w:cs="Arial"/>
        </w:rPr>
        <w:tab/>
        <w:t>Intra-SN classic PSCell change / CPC</w:t>
      </w:r>
    </w:p>
    <w:p w14:paraId="0BC3E508"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w:t>
      </w:r>
      <w:r w:rsidRPr="004717E0">
        <w:rPr>
          <w:rFonts w:cs="Arial"/>
        </w:rPr>
        <w:tab/>
        <w:t>Classic Addition / CPA</w:t>
      </w:r>
    </w:p>
    <w:p w14:paraId="75362457"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1a</w:t>
      </w:r>
      <w:r w:rsidRPr="004717E0">
        <w:rPr>
          <w:rFonts w:cs="Arial"/>
        </w:rPr>
        <w:tab/>
        <w:t>RAN2 will discuss HO with SN change later, after the basic solution for SPR is known</w:t>
      </w:r>
    </w:p>
    <w:p w14:paraId="391D25E7"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2</w:t>
      </w:r>
      <w:r w:rsidRPr="004717E0">
        <w:rPr>
          <w:rFonts w:cs="Arial"/>
        </w:rPr>
        <w:tab/>
        <w:t>Given that PSCell addition is proposed by all companies, SPR is used as the abbreviations to use for the feature.</w:t>
      </w:r>
    </w:p>
    <w:p w14:paraId="2E43D1FB"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3</w:t>
      </w:r>
      <w:r w:rsidRPr="004717E0">
        <w:rPr>
          <w:rFonts w:cs="Arial"/>
        </w:rPr>
        <w:tab/>
        <w:t>RAN2 confirm to prioritize NR-DC scenario for SPR.</w:t>
      </w:r>
    </w:p>
    <w:p w14:paraId="7ADB5376"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4</w:t>
      </w:r>
      <w:r w:rsidRPr="004717E0">
        <w:rPr>
          <w:rFonts w:cs="Arial"/>
        </w:rPr>
        <w:tab/>
        <w:t>SHR solution is taken as baseline for the SPR in terms of configuration and reporting at high level. Details of the configuration and report need to be tailored/customized/new message per use case.</w:t>
      </w:r>
    </w:p>
    <w:p w14:paraId="4B1DC86F"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5</w:t>
      </w:r>
      <w:r w:rsidRPr="004717E0">
        <w:rPr>
          <w:rFonts w:cs="Arial"/>
        </w:rPr>
        <w:tab/>
        <w:t>Network configures SPR configuration IE for the UE, with at least the following triggering conditions:</w:t>
      </w:r>
    </w:p>
    <w:p w14:paraId="509F19D3"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w:t>
      </w:r>
      <w:r w:rsidRPr="004717E0">
        <w:rPr>
          <w:rFonts w:cs="Arial"/>
        </w:rPr>
        <w:tab/>
        <w:t>T310 triggering condition</w:t>
      </w:r>
    </w:p>
    <w:p w14:paraId="02AE82C8"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w:t>
      </w:r>
      <w:r w:rsidRPr="004717E0">
        <w:rPr>
          <w:rFonts w:cs="Arial"/>
        </w:rPr>
        <w:tab/>
        <w:t>T312 triggering condition</w:t>
      </w:r>
    </w:p>
    <w:p w14:paraId="7BDBDEF0"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w:t>
      </w:r>
      <w:r w:rsidRPr="004717E0">
        <w:rPr>
          <w:rFonts w:cs="Arial"/>
        </w:rPr>
        <w:tab/>
        <w:t>T304 triggering condition</w:t>
      </w:r>
    </w:p>
    <w:p w14:paraId="3D048471"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5a: Other triggering conditions are FFS</w:t>
      </w:r>
    </w:p>
    <w:p w14:paraId="7159B924"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5b: Values of the triggering conditions are FFS</w:t>
      </w:r>
    </w:p>
    <w:p w14:paraId="1A208EF8"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 xml:space="preserve">5c: Which node configures the triggering condition is FFS. </w:t>
      </w:r>
    </w:p>
    <w:p w14:paraId="6E19815B"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6</w:t>
      </w:r>
      <w:r w:rsidRPr="004717E0">
        <w:rPr>
          <w:rFonts w:cs="Arial"/>
        </w:rPr>
        <w:tab/>
        <w:t>RAN2 agree to the following:</w:t>
      </w:r>
    </w:p>
    <w:p w14:paraId="638461EA"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A.</w:t>
      </w:r>
      <w:r w:rsidRPr="004717E0">
        <w:rPr>
          <w:rFonts w:cs="Arial"/>
        </w:rPr>
        <w:tab/>
        <w:t xml:space="preserve">SPR configuration is configured by network through </w:t>
      </w:r>
      <w:proofErr w:type="spellStart"/>
      <w:r w:rsidRPr="004717E0">
        <w:rPr>
          <w:rFonts w:cs="Arial"/>
        </w:rPr>
        <w:t>otherConfig</w:t>
      </w:r>
      <w:proofErr w:type="spellEnd"/>
      <w:r w:rsidRPr="004717E0">
        <w:rPr>
          <w:rFonts w:cs="Arial"/>
        </w:rPr>
        <w:t xml:space="preserve"> </w:t>
      </w:r>
    </w:p>
    <w:p w14:paraId="68AD3089"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B.</w:t>
      </w:r>
      <w:r w:rsidRPr="004717E0">
        <w:rPr>
          <w:rFonts w:cs="Arial"/>
        </w:rPr>
        <w:tab/>
        <w:t>SPR is fetched via UE Information Request/Response procedure</w:t>
      </w:r>
    </w:p>
    <w:p w14:paraId="572BF280"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p>
    <w:p w14:paraId="4C030692"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7</w:t>
      </w:r>
      <w:r w:rsidRPr="004717E0">
        <w:rPr>
          <w:rFonts w:cs="Arial"/>
        </w:rPr>
        <w:tab/>
        <w:t>UE logs at least the following information and measurements in the SPR IE (other information and measurements are FFS).</w:t>
      </w:r>
    </w:p>
    <w:p w14:paraId="2B1FE25C"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a)</w:t>
      </w:r>
      <w:r w:rsidRPr="004717E0">
        <w:rPr>
          <w:rFonts w:cs="Arial"/>
        </w:rPr>
        <w:tab/>
        <w:t>Source PSCell info (cell ID, measurement result)</w:t>
      </w:r>
    </w:p>
    <w:p w14:paraId="013BBCAA"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b)</w:t>
      </w:r>
      <w:r w:rsidRPr="004717E0">
        <w:rPr>
          <w:rFonts w:cs="Arial"/>
        </w:rPr>
        <w:tab/>
        <w:t xml:space="preserve">Target </w:t>
      </w:r>
      <w:proofErr w:type="spellStart"/>
      <w:r w:rsidRPr="004717E0">
        <w:rPr>
          <w:rFonts w:cs="Arial"/>
        </w:rPr>
        <w:t>PScell</w:t>
      </w:r>
      <w:proofErr w:type="spellEnd"/>
      <w:r w:rsidRPr="004717E0">
        <w:rPr>
          <w:rFonts w:cs="Arial"/>
        </w:rPr>
        <w:t xml:space="preserve"> info (cell ID, measurement result)</w:t>
      </w:r>
    </w:p>
    <w:p w14:paraId="6BC1860B"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c)</w:t>
      </w:r>
      <w:r w:rsidRPr="004717E0">
        <w:rPr>
          <w:rFonts w:cs="Arial"/>
        </w:rPr>
        <w:tab/>
        <w:t>Neighbour Cells info (cell ID, measurement result, CPAC Candidate cells flag)</w:t>
      </w:r>
    </w:p>
    <w:p w14:paraId="7A404E5A"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d)</w:t>
      </w:r>
      <w:r w:rsidRPr="004717E0">
        <w:rPr>
          <w:rFonts w:cs="Arial"/>
        </w:rPr>
        <w:tab/>
        <w:t>Success PSCell change/addition cause value (e.g., t304, t310, t312 cause, etc.)</w:t>
      </w:r>
    </w:p>
    <w:p w14:paraId="100ACFE7"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f)</w:t>
      </w:r>
      <w:r w:rsidRPr="004717E0">
        <w:rPr>
          <w:rFonts w:cs="Arial"/>
        </w:rPr>
        <w:tab/>
        <w:t xml:space="preserve">The time elapsed between the CPAC execution towards the target cell and the corresponding latest CPAC configuration received for the selected target cell </w:t>
      </w:r>
    </w:p>
    <w:p w14:paraId="09D6987A"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p>
    <w:p w14:paraId="08A445B5"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7a: FFS on whether to reuse CHO candidate cell flag for the CPAC candidate cells or define a new flag to indicate CPAC candidate cell.</w:t>
      </w:r>
    </w:p>
    <w:p w14:paraId="2112EBE0"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 xml:space="preserve">7b: FFS on whether to include or on conditional inclusion of </w:t>
      </w:r>
      <w:proofErr w:type="gramStart"/>
      <w:r w:rsidRPr="004717E0">
        <w:rPr>
          <w:rFonts w:cs="Arial"/>
        </w:rPr>
        <w:t>random access</w:t>
      </w:r>
      <w:proofErr w:type="gramEnd"/>
      <w:r w:rsidRPr="004717E0">
        <w:rPr>
          <w:rFonts w:cs="Arial"/>
        </w:rPr>
        <w:t xml:space="preserve"> related information.</w:t>
      </w:r>
    </w:p>
    <w:p w14:paraId="6DEFAFE9"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7c:</w:t>
      </w:r>
      <w:r w:rsidRPr="004717E0">
        <w:rPr>
          <w:rFonts w:cs="Arial"/>
        </w:rPr>
        <w:tab/>
        <w:t>FFS on Location Information</w:t>
      </w:r>
    </w:p>
    <w:p w14:paraId="1F3C7F0C" w14:textId="77777777" w:rsidR="00581762" w:rsidRPr="004717E0" w:rsidRDefault="00581762" w:rsidP="00581762">
      <w:pPr>
        <w:pStyle w:val="Doc-text2"/>
        <w:rPr>
          <w:rFonts w:cs="Arial"/>
        </w:rPr>
      </w:pPr>
    </w:p>
    <w:p w14:paraId="54E94141" w14:textId="77777777" w:rsidR="00574B5C" w:rsidRDefault="00574B5C" w:rsidP="0037751C">
      <w:pPr>
        <w:rPr>
          <w:rFonts w:ascii="Arial" w:hAnsi="Arial" w:cs="Arial"/>
          <w:szCs w:val="20"/>
          <w:lang w:val="en-GB" w:eastAsia="zh-CN"/>
        </w:rPr>
      </w:pPr>
    </w:p>
    <w:p w14:paraId="2F8A0D86" w14:textId="46747129" w:rsidR="00574B5C" w:rsidRDefault="00341AFD" w:rsidP="0037751C">
      <w:pPr>
        <w:rPr>
          <w:rFonts w:ascii="Arial" w:hAnsi="Arial" w:cs="Arial"/>
          <w:szCs w:val="20"/>
          <w:lang w:val="en-GB" w:eastAsia="zh-CN"/>
        </w:rPr>
      </w:pPr>
      <w:r>
        <w:rPr>
          <w:rFonts w:ascii="Arial" w:hAnsi="Arial" w:cs="Arial"/>
          <w:szCs w:val="20"/>
          <w:lang w:val="en-GB" w:eastAsia="zh-CN"/>
        </w:rPr>
        <w:t>Furthermore, in RAN2#120 meeting</w:t>
      </w:r>
      <w:r w:rsidR="00F302A9">
        <w:rPr>
          <w:rFonts w:ascii="Arial" w:hAnsi="Arial" w:cs="Arial"/>
          <w:szCs w:val="20"/>
          <w:lang w:val="en-GB" w:eastAsia="zh-CN"/>
        </w:rPr>
        <w:t xml:space="preserve"> [2],</w:t>
      </w:r>
      <w:r>
        <w:rPr>
          <w:rFonts w:ascii="Arial" w:hAnsi="Arial" w:cs="Arial"/>
          <w:szCs w:val="20"/>
          <w:lang w:val="en-GB" w:eastAsia="zh-CN"/>
        </w:rPr>
        <w:t xml:space="preserve"> RAN2 made the following agreements</w:t>
      </w:r>
      <w:r w:rsidR="00574309">
        <w:rPr>
          <w:rFonts w:ascii="Arial" w:hAnsi="Arial" w:cs="Arial"/>
          <w:szCs w:val="20"/>
          <w:lang w:val="en-GB" w:eastAsia="zh-CN"/>
        </w:rPr>
        <w:t xml:space="preserve"> for SPR</w:t>
      </w:r>
      <w:r w:rsidR="0080748F">
        <w:rPr>
          <w:rFonts w:ascii="Arial" w:hAnsi="Arial" w:cs="Arial"/>
          <w:szCs w:val="20"/>
          <w:lang w:val="en-GB" w:eastAsia="zh-CN"/>
        </w:rPr>
        <w:t>,</w:t>
      </w:r>
    </w:p>
    <w:p w14:paraId="7CF763B1" w14:textId="39B86AEC" w:rsidR="00574309" w:rsidRDefault="00574309" w:rsidP="0037751C">
      <w:pPr>
        <w:rPr>
          <w:rFonts w:ascii="Arial" w:hAnsi="Arial" w:cs="Arial"/>
          <w:szCs w:val="20"/>
          <w:lang w:val="en-GB" w:eastAsia="zh-CN"/>
        </w:rPr>
      </w:pPr>
    </w:p>
    <w:p w14:paraId="30629F26" w14:textId="77777777" w:rsidR="00574309" w:rsidRDefault="00574309" w:rsidP="00574309">
      <w:pPr>
        <w:pStyle w:val="Doc-text2"/>
        <w:pBdr>
          <w:top w:val="single" w:sz="4" w:space="1" w:color="auto"/>
          <w:left w:val="single" w:sz="4" w:space="4" w:color="auto"/>
          <w:bottom w:val="single" w:sz="4" w:space="1" w:color="auto"/>
          <w:right w:val="single" w:sz="4" w:space="4" w:color="auto"/>
        </w:pBdr>
      </w:pPr>
      <w:r>
        <w:t>Agreements:</w:t>
      </w:r>
    </w:p>
    <w:p w14:paraId="181DBBC9" w14:textId="77777777" w:rsidR="00574309" w:rsidRDefault="00574309" w:rsidP="00574309">
      <w:pPr>
        <w:pStyle w:val="Doc-text2"/>
        <w:pBdr>
          <w:top w:val="single" w:sz="4" w:space="1" w:color="auto"/>
          <w:left w:val="single" w:sz="4" w:space="4" w:color="auto"/>
          <w:bottom w:val="single" w:sz="4" w:space="1" w:color="auto"/>
          <w:right w:val="single" w:sz="4" w:space="4" w:color="auto"/>
        </w:pBdr>
      </w:pPr>
      <w:r>
        <w:t>3</w:t>
      </w:r>
      <w:r>
        <w:tab/>
      </w:r>
      <w:r w:rsidRPr="000B33A3">
        <w:t>Only MN can retrieve the SPR from the UE</w:t>
      </w:r>
      <w:r>
        <w:t>.</w:t>
      </w:r>
    </w:p>
    <w:p w14:paraId="47B9D6DA" w14:textId="77777777" w:rsidR="00574309" w:rsidRPr="000B33A3" w:rsidRDefault="00574309" w:rsidP="00574309">
      <w:pPr>
        <w:pStyle w:val="Doc-text2"/>
        <w:pBdr>
          <w:top w:val="single" w:sz="4" w:space="1" w:color="auto"/>
          <w:left w:val="single" w:sz="4" w:space="4" w:color="auto"/>
          <w:bottom w:val="single" w:sz="4" w:space="1" w:color="auto"/>
          <w:right w:val="single" w:sz="4" w:space="4" w:color="auto"/>
        </w:pBdr>
      </w:pPr>
      <w:r>
        <w:t>4</w:t>
      </w:r>
      <w:r>
        <w:tab/>
      </w:r>
      <w:r w:rsidRPr="000B33A3">
        <w:t xml:space="preserve">For Q8, RAN2 </w:t>
      </w:r>
      <w:r>
        <w:t>agree</w:t>
      </w:r>
      <w:r w:rsidRPr="000B33A3">
        <w:t xml:space="preserve"> following options:</w:t>
      </w:r>
      <w:r>
        <w:t xml:space="preserve"> </w:t>
      </w:r>
      <w:r w:rsidRPr="000B33A3">
        <w:t>depends on which of nodes initiates SPR, i.e.:</w:t>
      </w:r>
    </w:p>
    <w:p w14:paraId="3F7431F3" w14:textId="77777777" w:rsidR="00574309" w:rsidRPr="000B33A3" w:rsidRDefault="00574309" w:rsidP="00574309">
      <w:pPr>
        <w:pStyle w:val="Doc-text2"/>
        <w:pBdr>
          <w:top w:val="single" w:sz="4" w:space="1" w:color="auto"/>
          <w:left w:val="single" w:sz="4" w:space="4" w:color="auto"/>
          <w:bottom w:val="single" w:sz="4" w:space="1" w:color="auto"/>
          <w:right w:val="single" w:sz="4" w:space="4" w:color="auto"/>
        </w:pBdr>
      </w:pPr>
      <w:r>
        <w:tab/>
      </w:r>
      <w:r w:rsidRPr="000B33A3">
        <w:tab/>
        <w:t>For the MN-initiated PSCell Change/Addition, MN sends the SPR config to the UE</w:t>
      </w:r>
    </w:p>
    <w:p w14:paraId="67AD1F6D" w14:textId="77777777" w:rsidR="00574309" w:rsidRDefault="00574309" w:rsidP="00574309">
      <w:pPr>
        <w:pStyle w:val="Doc-text2"/>
        <w:pBdr>
          <w:top w:val="single" w:sz="4" w:space="1" w:color="auto"/>
          <w:left w:val="single" w:sz="4" w:space="4" w:color="auto"/>
          <w:bottom w:val="single" w:sz="4" w:space="1" w:color="auto"/>
          <w:right w:val="single" w:sz="4" w:space="4" w:color="auto"/>
        </w:pBdr>
      </w:pPr>
      <w:r>
        <w:tab/>
      </w:r>
      <w:r w:rsidRPr="000B33A3">
        <w:tab/>
        <w:t>For the SN-initiated PSCell Change, the source-SN sends the Successful PSCell Change configuration within the container through MN</w:t>
      </w:r>
      <w:r>
        <w:t>.</w:t>
      </w:r>
    </w:p>
    <w:p w14:paraId="779B84DE" w14:textId="77777777" w:rsidR="00574309" w:rsidRDefault="00574309" w:rsidP="00574309">
      <w:pPr>
        <w:pStyle w:val="Doc-text2"/>
        <w:pBdr>
          <w:top w:val="single" w:sz="4" w:space="1" w:color="auto"/>
          <w:left w:val="single" w:sz="4" w:space="4" w:color="auto"/>
          <w:bottom w:val="single" w:sz="4" w:space="1" w:color="auto"/>
          <w:right w:val="single" w:sz="4" w:space="4" w:color="auto"/>
        </w:pBdr>
      </w:pPr>
      <w:r>
        <w:tab/>
      </w:r>
      <w:r>
        <w:tab/>
        <w:t>T304 trigger needs to be configured by the target SN node.</w:t>
      </w:r>
    </w:p>
    <w:p w14:paraId="72EAAFAE" w14:textId="77777777" w:rsidR="00574309" w:rsidRDefault="00574309" w:rsidP="0037751C">
      <w:pPr>
        <w:rPr>
          <w:rFonts w:ascii="Arial" w:hAnsi="Arial" w:cs="Arial"/>
          <w:szCs w:val="20"/>
          <w:lang w:val="en-GB" w:eastAsia="zh-CN"/>
        </w:rPr>
      </w:pPr>
    </w:p>
    <w:p w14:paraId="27C51748" w14:textId="4F1AFC99" w:rsidR="00341AFD" w:rsidRDefault="00341AFD" w:rsidP="0037751C">
      <w:pPr>
        <w:rPr>
          <w:rFonts w:ascii="Arial" w:hAnsi="Arial" w:cs="Arial"/>
          <w:szCs w:val="20"/>
          <w:lang w:val="en-GB" w:eastAsia="zh-CN"/>
        </w:rPr>
      </w:pPr>
    </w:p>
    <w:p w14:paraId="143795DC" w14:textId="77777777" w:rsidR="004C7C3A" w:rsidRPr="000B33A3" w:rsidRDefault="004C7C3A" w:rsidP="004C7C3A">
      <w:pPr>
        <w:pStyle w:val="Doc-text2"/>
        <w:pBdr>
          <w:top w:val="single" w:sz="4" w:space="1" w:color="auto"/>
          <w:left w:val="single" w:sz="4" w:space="4" w:color="auto"/>
          <w:bottom w:val="single" w:sz="4" w:space="1" w:color="auto"/>
          <w:right w:val="single" w:sz="4" w:space="4" w:color="auto"/>
        </w:pBdr>
      </w:pPr>
      <w:r>
        <w:lastRenderedPageBreak/>
        <w:t>Agreements:</w:t>
      </w:r>
    </w:p>
    <w:p w14:paraId="337CC402" w14:textId="77777777" w:rsidR="004C7C3A" w:rsidRDefault="004C7C3A" w:rsidP="004C7C3A">
      <w:pPr>
        <w:pStyle w:val="Doc-text2"/>
        <w:pBdr>
          <w:top w:val="single" w:sz="4" w:space="1" w:color="auto"/>
          <w:left w:val="single" w:sz="4" w:space="4" w:color="auto"/>
          <w:bottom w:val="single" w:sz="4" w:space="1" w:color="auto"/>
          <w:right w:val="single" w:sz="4" w:space="4" w:color="auto"/>
        </w:pBdr>
      </w:pPr>
      <w:r>
        <w:t>1</w:t>
      </w:r>
      <w:r>
        <w:tab/>
      </w:r>
      <w:r w:rsidRPr="000B33A3">
        <w:t>UE stores both SPR and SHR configuration (one for each type at most) if received from NW.</w:t>
      </w:r>
    </w:p>
    <w:p w14:paraId="54784536" w14:textId="77777777" w:rsidR="004C7C3A" w:rsidRDefault="004C7C3A" w:rsidP="004C7C3A">
      <w:pPr>
        <w:pStyle w:val="Doc-text2"/>
        <w:pBdr>
          <w:top w:val="single" w:sz="4" w:space="1" w:color="auto"/>
          <w:left w:val="single" w:sz="4" w:space="4" w:color="auto"/>
          <w:bottom w:val="single" w:sz="4" w:space="1" w:color="auto"/>
          <w:right w:val="single" w:sz="4" w:space="4" w:color="auto"/>
        </w:pBdr>
      </w:pPr>
      <w:r>
        <w:t>2</w:t>
      </w:r>
      <w:r>
        <w:tab/>
      </w:r>
      <w:r w:rsidRPr="000B33A3">
        <w:t xml:space="preserve">UE can send the </w:t>
      </w:r>
      <w:r>
        <w:t xml:space="preserve">(stored) </w:t>
      </w:r>
      <w:r w:rsidRPr="000B33A3">
        <w:t>SPR to gNB.</w:t>
      </w:r>
      <w:r>
        <w:t xml:space="preserve"> FFS how long UE keeping SPR is FFS.</w:t>
      </w:r>
    </w:p>
    <w:p w14:paraId="25040335" w14:textId="77777777" w:rsidR="004C7C3A" w:rsidRDefault="004C7C3A" w:rsidP="004C7C3A">
      <w:pPr>
        <w:pStyle w:val="Doc-text2"/>
        <w:pBdr>
          <w:top w:val="single" w:sz="4" w:space="1" w:color="auto"/>
          <w:left w:val="single" w:sz="4" w:space="4" w:color="auto"/>
          <w:bottom w:val="single" w:sz="4" w:space="1" w:color="auto"/>
          <w:right w:val="single" w:sz="4" w:space="4" w:color="auto"/>
        </w:pBdr>
      </w:pPr>
      <w:r>
        <w:t>3</w:t>
      </w:r>
      <w:r>
        <w:tab/>
      </w:r>
      <w:r w:rsidRPr="000B33A3">
        <w:t>Only the latest successful PSCell change</w:t>
      </w:r>
      <w:r>
        <w:t>/addition</w:t>
      </w:r>
      <w:r w:rsidRPr="000B33A3">
        <w:t xml:space="preserve"> is reported by the UE.</w:t>
      </w:r>
    </w:p>
    <w:p w14:paraId="25FBD2E2" w14:textId="77777777" w:rsidR="004C7C3A" w:rsidRDefault="004C7C3A" w:rsidP="004C7C3A">
      <w:pPr>
        <w:pStyle w:val="Doc-text2"/>
        <w:pBdr>
          <w:top w:val="single" w:sz="4" w:space="1" w:color="auto"/>
          <w:left w:val="single" w:sz="4" w:space="4" w:color="auto"/>
          <w:bottom w:val="single" w:sz="4" w:space="1" w:color="auto"/>
          <w:right w:val="single" w:sz="4" w:space="4" w:color="auto"/>
        </w:pBdr>
      </w:pPr>
      <w:r>
        <w:t>4</w:t>
      </w:r>
      <w:r>
        <w:tab/>
      </w:r>
      <w:r w:rsidRPr="000B33A3">
        <w:t xml:space="preserve">Random access related information is included in SPR </w:t>
      </w:r>
      <w:r>
        <w:t>at least</w:t>
      </w:r>
      <w:r w:rsidRPr="000B33A3">
        <w:t xml:space="preserve"> when the SPR is triggered due to T304 exceeds the configured threshold.</w:t>
      </w:r>
      <w:r>
        <w:t xml:space="preserve"> Other conditions are FFS.</w:t>
      </w:r>
    </w:p>
    <w:p w14:paraId="48D5FEA5" w14:textId="77777777" w:rsidR="004C7C3A" w:rsidRPr="000B33A3" w:rsidRDefault="004C7C3A" w:rsidP="004C7C3A">
      <w:pPr>
        <w:pStyle w:val="Doc-text2"/>
        <w:pBdr>
          <w:top w:val="single" w:sz="4" w:space="1" w:color="auto"/>
          <w:left w:val="single" w:sz="4" w:space="4" w:color="auto"/>
          <w:bottom w:val="single" w:sz="4" w:space="1" w:color="auto"/>
          <w:right w:val="single" w:sz="4" w:space="4" w:color="auto"/>
        </w:pBdr>
      </w:pPr>
      <w:r>
        <w:t>5</w:t>
      </w:r>
      <w:r>
        <w:tab/>
      </w:r>
      <w:r w:rsidRPr="000B33A3">
        <w:t>UE records/reports PCell SHR and PSCell SPR separately</w:t>
      </w:r>
    </w:p>
    <w:p w14:paraId="59595272" w14:textId="77777777" w:rsidR="00341AFD" w:rsidRDefault="00341AFD" w:rsidP="0037751C">
      <w:pPr>
        <w:rPr>
          <w:rFonts w:ascii="Arial" w:hAnsi="Arial" w:cs="Arial"/>
          <w:szCs w:val="20"/>
          <w:lang w:val="en-GB" w:eastAsia="zh-CN"/>
        </w:rPr>
      </w:pPr>
    </w:p>
    <w:p w14:paraId="6F54E8BF" w14:textId="77777777" w:rsidR="00255401" w:rsidRPr="004717E0" w:rsidRDefault="00255401" w:rsidP="00255401">
      <w:pPr>
        <w:rPr>
          <w:rFonts w:ascii="Arial" w:hAnsi="Arial" w:cs="Arial"/>
          <w:b/>
          <w:bCs/>
          <w:szCs w:val="20"/>
          <w:lang w:val="en-GB" w:eastAsia="zh-CN"/>
        </w:rPr>
      </w:pPr>
    </w:p>
    <w:p w14:paraId="2E062FA5" w14:textId="1306B65D" w:rsidR="007C4720" w:rsidRDefault="00DF1136" w:rsidP="0061628B">
      <w:pPr>
        <w:pStyle w:val="ListParagraph"/>
        <w:numPr>
          <w:ilvl w:val="0"/>
          <w:numId w:val="12"/>
        </w:numPr>
        <w:rPr>
          <w:rFonts w:ascii="Arial" w:hAnsi="Arial" w:cs="Arial"/>
          <w:b/>
          <w:bCs/>
          <w:sz w:val="22"/>
          <w:szCs w:val="22"/>
          <w:lang w:val="en-GB" w:eastAsia="zh-CN"/>
        </w:rPr>
      </w:pPr>
      <w:r>
        <w:rPr>
          <w:rFonts w:ascii="Arial" w:hAnsi="Arial" w:cs="Arial"/>
          <w:b/>
          <w:bCs/>
          <w:sz w:val="22"/>
          <w:szCs w:val="22"/>
          <w:lang w:val="en-GB" w:eastAsia="zh-CN"/>
        </w:rPr>
        <w:t>On the configuration of SPR</w:t>
      </w:r>
      <w:r w:rsidR="008E42A5">
        <w:rPr>
          <w:rFonts w:ascii="Arial" w:hAnsi="Arial" w:cs="Arial"/>
          <w:b/>
          <w:bCs/>
          <w:sz w:val="22"/>
          <w:szCs w:val="22"/>
          <w:lang w:val="en-GB" w:eastAsia="zh-CN"/>
        </w:rPr>
        <w:t xml:space="preserve"> for </w:t>
      </w:r>
      <w:r w:rsidR="002164CD">
        <w:rPr>
          <w:rFonts w:ascii="Arial" w:hAnsi="Arial" w:cs="Arial"/>
          <w:b/>
          <w:bCs/>
          <w:sz w:val="22"/>
          <w:szCs w:val="22"/>
          <w:lang w:val="en-GB" w:eastAsia="zh-CN"/>
        </w:rPr>
        <w:t>MN-initiated CPC and CPA</w:t>
      </w:r>
    </w:p>
    <w:p w14:paraId="1ED4FF9F" w14:textId="5691686C" w:rsidR="00290381" w:rsidRDefault="00290381" w:rsidP="00290381">
      <w:pPr>
        <w:rPr>
          <w:rFonts w:ascii="Arial" w:hAnsi="Arial" w:cs="Arial"/>
          <w:b/>
          <w:bCs/>
          <w:sz w:val="22"/>
          <w:szCs w:val="22"/>
          <w:lang w:val="en-GB" w:eastAsia="zh-CN"/>
        </w:rPr>
      </w:pPr>
    </w:p>
    <w:p w14:paraId="2D15FC73" w14:textId="4858424C" w:rsidR="00673F8B" w:rsidRPr="00673F8B" w:rsidRDefault="005A3591" w:rsidP="00673F8B">
      <w:pPr>
        <w:rPr>
          <w:rFonts w:ascii="Arial" w:hAnsi="Arial" w:cs="Arial"/>
          <w:color w:val="000000" w:themeColor="text1"/>
          <w:lang w:eastAsia="zh-CN"/>
        </w:rPr>
      </w:pPr>
      <w:r w:rsidRPr="00673F8B">
        <w:rPr>
          <w:rFonts w:ascii="Arial" w:hAnsi="Arial" w:cs="Arial"/>
          <w:color w:val="000000" w:themeColor="text1"/>
          <w:szCs w:val="20"/>
          <w:lang w:val="en-GB" w:eastAsia="zh-CN"/>
        </w:rPr>
        <w:t>In the RAN3#118</w:t>
      </w:r>
      <w:r w:rsidR="00D93BA4" w:rsidRPr="00673F8B">
        <w:rPr>
          <w:rFonts w:ascii="Arial" w:hAnsi="Arial" w:cs="Arial"/>
          <w:color w:val="000000" w:themeColor="text1"/>
          <w:szCs w:val="20"/>
          <w:lang w:val="en-GB" w:eastAsia="zh-CN"/>
        </w:rPr>
        <w:t xml:space="preserve"> meeting [4], RAN3 </w:t>
      </w:r>
      <w:r w:rsidR="008815A9" w:rsidRPr="00673F8B">
        <w:rPr>
          <w:rFonts w:ascii="Arial" w:hAnsi="Arial" w:cs="Arial"/>
          <w:color w:val="000000" w:themeColor="text1"/>
          <w:szCs w:val="20"/>
          <w:lang w:val="en-GB" w:eastAsia="zh-CN"/>
        </w:rPr>
        <w:t>agreed that source SN determines the T310/T312 trigger</w:t>
      </w:r>
      <w:r w:rsidR="009148C1" w:rsidRPr="00673F8B">
        <w:rPr>
          <w:rFonts w:ascii="Arial" w:hAnsi="Arial" w:cs="Arial"/>
          <w:color w:val="000000" w:themeColor="text1"/>
          <w:szCs w:val="20"/>
          <w:lang w:val="en-GB" w:eastAsia="zh-CN"/>
        </w:rPr>
        <w:t>s</w:t>
      </w:r>
      <w:r w:rsidR="008815A9" w:rsidRPr="00673F8B">
        <w:rPr>
          <w:rFonts w:ascii="Arial" w:hAnsi="Arial" w:cs="Arial"/>
          <w:color w:val="000000" w:themeColor="text1"/>
          <w:szCs w:val="20"/>
          <w:lang w:val="en-GB" w:eastAsia="zh-CN"/>
        </w:rPr>
        <w:t xml:space="preserve"> </w:t>
      </w:r>
      <w:r w:rsidR="009148C1" w:rsidRPr="00673F8B">
        <w:rPr>
          <w:rFonts w:ascii="Arial" w:hAnsi="Arial" w:cs="Arial"/>
          <w:color w:val="000000" w:themeColor="text1"/>
          <w:lang w:eastAsia="zh-CN"/>
        </w:rPr>
        <w:t>(</w:t>
      </w:r>
      <w:proofErr w:type="spellStart"/>
      <w:r w:rsidR="009148C1" w:rsidRPr="00673F8B">
        <w:rPr>
          <w:rFonts w:ascii="Arial" w:hAnsi="Arial" w:cs="Arial"/>
          <w:color w:val="000000" w:themeColor="text1"/>
          <w:lang w:eastAsia="zh-CN"/>
        </w:rPr>
        <w:t>e.g</w:t>
      </w:r>
      <w:proofErr w:type="spellEnd"/>
      <w:r w:rsidR="009148C1" w:rsidRPr="00673F8B">
        <w:rPr>
          <w:rFonts w:ascii="Arial" w:hAnsi="Arial" w:cs="Arial"/>
          <w:color w:val="000000" w:themeColor="text1"/>
          <w:lang w:eastAsia="zh-CN"/>
        </w:rPr>
        <w:t xml:space="preserve"> timer threshold) and target SN node determines the T304 triggers (</w:t>
      </w:r>
      <w:proofErr w:type="spellStart"/>
      <w:r w:rsidR="009148C1" w:rsidRPr="00673F8B">
        <w:rPr>
          <w:rFonts w:ascii="Arial" w:hAnsi="Arial" w:cs="Arial"/>
          <w:color w:val="000000" w:themeColor="text1"/>
          <w:lang w:eastAsia="zh-CN"/>
        </w:rPr>
        <w:t>e.g</w:t>
      </w:r>
      <w:proofErr w:type="spellEnd"/>
      <w:r w:rsidR="009148C1" w:rsidRPr="00673F8B">
        <w:rPr>
          <w:rFonts w:ascii="Arial" w:hAnsi="Arial" w:cs="Arial"/>
          <w:color w:val="000000" w:themeColor="text1"/>
          <w:lang w:eastAsia="zh-CN"/>
        </w:rPr>
        <w:t xml:space="preserve"> timer threshold), which is in line with RAN2 agreement in RAN2#120 meeting. </w:t>
      </w:r>
      <w:r w:rsidR="002164CD" w:rsidRPr="00673F8B">
        <w:rPr>
          <w:rFonts w:ascii="Arial" w:hAnsi="Arial" w:cs="Arial"/>
          <w:color w:val="000000" w:themeColor="text1"/>
          <w:lang w:eastAsia="zh-CN"/>
        </w:rPr>
        <w:t xml:space="preserve">RAN3 further agreed that </w:t>
      </w:r>
      <w:r w:rsidR="006B031C" w:rsidRPr="00673F8B">
        <w:rPr>
          <w:rFonts w:ascii="Arial" w:hAnsi="Arial" w:cs="Arial"/>
          <w:color w:val="000000" w:themeColor="text1"/>
          <w:lang w:eastAsia="zh-CN"/>
        </w:rPr>
        <w:t xml:space="preserve">for the classic PSCell addition, </w:t>
      </w:r>
      <w:r w:rsidR="00673F8B" w:rsidRPr="00673F8B">
        <w:rPr>
          <w:rFonts w:ascii="Arial" w:hAnsi="Arial" w:cs="Arial"/>
          <w:color w:val="000000" w:themeColor="text1"/>
          <w:lang w:eastAsia="zh-CN"/>
        </w:rPr>
        <w:t xml:space="preserve">the SN decides the T304 </w:t>
      </w:r>
      <w:proofErr w:type="gramStart"/>
      <w:r w:rsidR="00673F8B" w:rsidRPr="00673F8B">
        <w:rPr>
          <w:rFonts w:ascii="Arial" w:hAnsi="Arial" w:cs="Arial"/>
          <w:color w:val="000000" w:themeColor="text1"/>
          <w:lang w:eastAsia="zh-CN"/>
        </w:rPr>
        <w:t>triggers(</w:t>
      </w:r>
      <w:proofErr w:type="spellStart"/>
      <w:proofErr w:type="gramEnd"/>
      <w:r w:rsidR="00673F8B" w:rsidRPr="00673F8B">
        <w:rPr>
          <w:rFonts w:ascii="Arial" w:hAnsi="Arial" w:cs="Arial"/>
          <w:color w:val="000000" w:themeColor="text1"/>
          <w:lang w:eastAsia="zh-CN"/>
        </w:rPr>
        <w:t>e.g</w:t>
      </w:r>
      <w:proofErr w:type="spellEnd"/>
      <w:r w:rsidR="00673F8B" w:rsidRPr="00673F8B">
        <w:rPr>
          <w:rFonts w:ascii="Arial" w:hAnsi="Arial" w:cs="Arial"/>
          <w:color w:val="000000" w:themeColor="text1"/>
          <w:lang w:eastAsia="zh-CN"/>
        </w:rPr>
        <w:t xml:space="preserve"> timer threshold) and performs root cause analysis. </w:t>
      </w:r>
      <w:r w:rsidR="001F2385">
        <w:rPr>
          <w:rFonts w:ascii="Arial" w:hAnsi="Arial" w:cs="Arial"/>
          <w:color w:val="000000" w:themeColor="text1"/>
          <w:lang w:eastAsia="zh-CN"/>
        </w:rPr>
        <w:t xml:space="preserve">RAN2 further agreed that </w:t>
      </w:r>
      <w:r w:rsidR="00047FD1">
        <w:rPr>
          <w:rFonts w:ascii="Arial" w:hAnsi="Arial" w:cs="Arial"/>
          <w:color w:val="000000" w:themeColor="text1"/>
          <w:lang w:eastAsia="zh-CN"/>
        </w:rPr>
        <w:t>for</w:t>
      </w:r>
      <w:r w:rsidR="001F2385">
        <w:rPr>
          <w:rFonts w:ascii="Arial" w:hAnsi="Arial" w:cs="Arial"/>
          <w:color w:val="000000" w:themeColor="text1"/>
          <w:lang w:eastAsia="zh-CN"/>
        </w:rPr>
        <w:t xml:space="preserve"> MN</w:t>
      </w:r>
      <w:r w:rsidR="00047FD1">
        <w:rPr>
          <w:rFonts w:ascii="Arial" w:hAnsi="Arial" w:cs="Arial"/>
          <w:color w:val="000000" w:themeColor="text1"/>
          <w:lang w:eastAsia="zh-CN"/>
        </w:rPr>
        <w:t>-initiated PS</w:t>
      </w:r>
      <w:r w:rsidR="00BD2072">
        <w:rPr>
          <w:rFonts w:ascii="Arial" w:hAnsi="Arial" w:cs="Arial"/>
          <w:color w:val="000000" w:themeColor="text1"/>
          <w:lang w:eastAsia="zh-CN"/>
        </w:rPr>
        <w:t>Cell</w:t>
      </w:r>
      <w:r w:rsidR="007F47B1">
        <w:rPr>
          <w:rFonts w:ascii="Arial" w:hAnsi="Arial" w:cs="Arial"/>
          <w:color w:val="000000" w:themeColor="text1"/>
          <w:lang w:eastAsia="zh-CN"/>
        </w:rPr>
        <w:t xml:space="preserve"> and SN-initiated PSCell change/addition, the T304 trigger condition is determined by the target SN. </w:t>
      </w:r>
      <w:r w:rsidR="001F334D">
        <w:rPr>
          <w:rFonts w:ascii="Arial" w:hAnsi="Arial" w:cs="Arial"/>
          <w:color w:val="000000" w:themeColor="text1"/>
          <w:lang w:eastAsia="zh-CN"/>
        </w:rPr>
        <w:t xml:space="preserve">Note that </w:t>
      </w:r>
      <w:r w:rsidR="00512ED7">
        <w:rPr>
          <w:rFonts w:ascii="Arial" w:hAnsi="Arial" w:cs="Arial"/>
          <w:color w:val="000000" w:themeColor="text1"/>
          <w:lang w:eastAsia="zh-CN"/>
        </w:rPr>
        <w:t xml:space="preserve">for CPA, there is no source SN, therefore, T310 and T312 thresholds for CPA </w:t>
      </w:r>
      <w:r w:rsidR="00E55B25">
        <w:rPr>
          <w:rFonts w:ascii="Arial" w:hAnsi="Arial" w:cs="Arial"/>
          <w:color w:val="000000" w:themeColor="text1"/>
          <w:lang w:eastAsia="zh-CN"/>
        </w:rPr>
        <w:t xml:space="preserve">cannot be provisioned. </w:t>
      </w:r>
      <w:r w:rsidR="007F47B1">
        <w:rPr>
          <w:rFonts w:ascii="Arial" w:hAnsi="Arial" w:cs="Arial"/>
          <w:color w:val="000000" w:themeColor="text1"/>
          <w:lang w:eastAsia="zh-CN"/>
        </w:rPr>
        <w:t xml:space="preserve"> </w:t>
      </w:r>
      <w:r w:rsidR="00047FD1">
        <w:rPr>
          <w:rFonts w:ascii="Arial" w:hAnsi="Arial" w:cs="Arial"/>
          <w:color w:val="000000" w:themeColor="text1"/>
          <w:lang w:eastAsia="zh-CN"/>
        </w:rPr>
        <w:t xml:space="preserve"> </w:t>
      </w:r>
    </w:p>
    <w:p w14:paraId="663AF195" w14:textId="141DFEA7" w:rsidR="003865FF" w:rsidRDefault="006B031C" w:rsidP="00290381">
      <w:pPr>
        <w:rPr>
          <w:rFonts w:ascii="Arial" w:hAnsi="Arial" w:cs="Arial"/>
          <w:szCs w:val="20"/>
          <w:lang w:val="en-GB" w:eastAsia="zh-CN"/>
        </w:rPr>
      </w:pPr>
      <w:r>
        <w:rPr>
          <w:rFonts w:ascii="Arial" w:hAnsi="Arial" w:cs="Arial"/>
          <w:color w:val="000000" w:themeColor="text1"/>
          <w:lang w:eastAsia="zh-CN"/>
        </w:rPr>
        <w:t xml:space="preserve"> </w:t>
      </w:r>
    </w:p>
    <w:p w14:paraId="3E642FCB" w14:textId="54B31946" w:rsidR="00E60D0E" w:rsidRPr="008E42A5" w:rsidRDefault="00E60D0E" w:rsidP="00E60D0E">
      <w:pPr>
        <w:rPr>
          <w:rFonts w:ascii="Arial" w:hAnsi="Arial" w:cs="Arial"/>
          <w:b/>
          <w:bCs/>
          <w:color w:val="000000" w:themeColor="text1"/>
          <w:lang w:eastAsia="zh-CN"/>
        </w:rPr>
      </w:pPr>
      <w:r w:rsidRPr="008E42A5">
        <w:rPr>
          <w:rFonts w:ascii="Arial" w:hAnsi="Arial" w:cs="Arial"/>
          <w:b/>
          <w:bCs/>
          <w:color w:val="000000" w:themeColor="text1"/>
          <w:szCs w:val="20"/>
          <w:lang w:val="en-GB" w:eastAsia="zh-CN"/>
        </w:rPr>
        <w:t xml:space="preserve">Observation 2: </w:t>
      </w:r>
      <w:r w:rsidR="008E42A5" w:rsidRPr="008E42A5">
        <w:rPr>
          <w:rFonts w:ascii="Arial" w:hAnsi="Arial" w:cs="Arial"/>
          <w:b/>
          <w:bCs/>
          <w:szCs w:val="20"/>
          <w:lang w:val="en-GB" w:eastAsia="zh-CN"/>
        </w:rPr>
        <w:t>In the RAN3#118 meeting [4], RAN3 agreed that f</w:t>
      </w:r>
      <w:r w:rsidRPr="008E42A5">
        <w:rPr>
          <w:rFonts w:ascii="Arial" w:hAnsi="Arial" w:cs="Arial"/>
          <w:b/>
          <w:bCs/>
          <w:color w:val="000000" w:themeColor="text1"/>
          <w:lang w:eastAsia="zh-CN"/>
        </w:rPr>
        <w:t xml:space="preserve">or SN-initiated classic </w:t>
      </w:r>
      <w:proofErr w:type="spellStart"/>
      <w:r w:rsidRPr="008E42A5">
        <w:rPr>
          <w:rFonts w:ascii="Arial" w:hAnsi="Arial" w:cs="Arial"/>
          <w:b/>
          <w:bCs/>
          <w:color w:val="000000" w:themeColor="text1"/>
          <w:lang w:eastAsia="zh-CN"/>
        </w:rPr>
        <w:t>PScell</w:t>
      </w:r>
      <w:proofErr w:type="spellEnd"/>
      <w:r w:rsidRPr="008E42A5">
        <w:rPr>
          <w:rFonts w:ascii="Arial" w:hAnsi="Arial" w:cs="Arial"/>
          <w:b/>
          <w:bCs/>
          <w:color w:val="000000" w:themeColor="text1"/>
          <w:lang w:eastAsia="zh-CN"/>
        </w:rPr>
        <w:t xml:space="preserve"> change the source SN node decides the T310/T312 triggers</w:t>
      </w:r>
      <w:r w:rsidR="009148C1" w:rsidRPr="008E42A5">
        <w:rPr>
          <w:rFonts w:ascii="Arial" w:hAnsi="Arial" w:cs="Arial"/>
          <w:b/>
          <w:bCs/>
          <w:color w:val="000000" w:themeColor="text1"/>
          <w:lang w:eastAsia="zh-CN"/>
        </w:rPr>
        <w:t xml:space="preserve"> </w:t>
      </w:r>
      <w:r w:rsidRPr="008E42A5">
        <w:rPr>
          <w:rFonts w:ascii="Arial" w:hAnsi="Arial" w:cs="Arial"/>
          <w:b/>
          <w:bCs/>
          <w:color w:val="000000" w:themeColor="text1"/>
          <w:lang w:eastAsia="zh-CN"/>
        </w:rPr>
        <w:t>(</w:t>
      </w:r>
      <w:proofErr w:type="spellStart"/>
      <w:r w:rsidRPr="008E42A5">
        <w:rPr>
          <w:rFonts w:ascii="Arial" w:hAnsi="Arial" w:cs="Arial"/>
          <w:b/>
          <w:bCs/>
          <w:color w:val="000000" w:themeColor="text1"/>
          <w:lang w:eastAsia="zh-CN"/>
        </w:rPr>
        <w:t>e.g</w:t>
      </w:r>
      <w:proofErr w:type="spellEnd"/>
      <w:r w:rsidRPr="008E42A5">
        <w:rPr>
          <w:rFonts w:ascii="Arial" w:hAnsi="Arial" w:cs="Arial"/>
          <w:b/>
          <w:bCs/>
          <w:color w:val="000000" w:themeColor="text1"/>
          <w:lang w:eastAsia="zh-CN"/>
        </w:rPr>
        <w:t xml:space="preserve"> timer threshold) and the target SN node decides the T304 triggers</w:t>
      </w:r>
      <w:r w:rsidR="00783E3C">
        <w:rPr>
          <w:rFonts w:ascii="Arial" w:hAnsi="Arial" w:cs="Arial"/>
          <w:b/>
          <w:bCs/>
          <w:color w:val="000000" w:themeColor="text1"/>
          <w:lang w:eastAsia="zh-CN"/>
        </w:rPr>
        <w:t xml:space="preserve"> </w:t>
      </w:r>
      <w:r w:rsidRPr="008E42A5">
        <w:rPr>
          <w:rFonts w:ascii="Arial" w:hAnsi="Arial" w:cs="Arial"/>
          <w:b/>
          <w:bCs/>
          <w:color w:val="000000" w:themeColor="text1"/>
          <w:lang w:eastAsia="zh-CN"/>
        </w:rPr>
        <w:t>(</w:t>
      </w:r>
      <w:proofErr w:type="spellStart"/>
      <w:r w:rsidRPr="008E42A5">
        <w:rPr>
          <w:rFonts w:ascii="Arial" w:hAnsi="Arial" w:cs="Arial"/>
          <w:b/>
          <w:bCs/>
          <w:color w:val="000000" w:themeColor="text1"/>
          <w:lang w:eastAsia="zh-CN"/>
        </w:rPr>
        <w:t>e.g</w:t>
      </w:r>
      <w:proofErr w:type="spellEnd"/>
      <w:r w:rsidRPr="008E42A5">
        <w:rPr>
          <w:rFonts w:ascii="Arial" w:hAnsi="Arial" w:cs="Arial"/>
          <w:b/>
          <w:bCs/>
          <w:color w:val="000000" w:themeColor="text1"/>
          <w:lang w:eastAsia="zh-CN"/>
        </w:rPr>
        <w:t xml:space="preserve"> timer threshold).</w:t>
      </w:r>
    </w:p>
    <w:p w14:paraId="67B7E3B8" w14:textId="77777777" w:rsidR="00E60D0E" w:rsidRDefault="00E60D0E" w:rsidP="00E60D0E">
      <w:pPr>
        <w:rPr>
          <w:rFonts w:ascii="Arial" w:hAnsi="Arial" w:cs="Arial"/>
          <w:color w:val="000000" w:themeColor="text1"/>
          <w:lang w:eastAsia="zh-CN"/>
        </w:rPr>
      </w:pPr>
    </w:p>
    <w:p w14:paraId="3C69F14F" w14:textId="0DFAAF32" w:rsidR="00E60D0E" w:rsidRDefault="00E60D0E" w:rsidP="00E60D0E">
      <w:pPr>
        <w:rPr>
          <w:rFonts w:ascii="Arial" w:hAnsi="Arial" w:cs="Arial"/>
          <w:b/>
          <w:bCs/>
          <w:color w:val="000000" w:themeColor="text1"/>
          <w:lang w:eastAsia="zh-CN"/>
        </w:rPr>
      </w:pPr>
      <w:r w:rsidRPr="00E55B25">
        <w:rPr>
          <w:rFonts w:ascii="Arial" w:hAnsi="Arial" w:cs="Arial"/>
          <w:b/>
          <w:bCs/>
          <w:color w:val="000000" w:themeColor="text1"/>
          <w:lang w:eastAsia="zh-CN"/>
        </w:rPr>
        <w:t>Observation 3</w:t>
      </w:r>
      <w:r w:rsidR="002164CD" w:rsidRPr="00E55B25">
        <w:rPr>
          <w:rFonts w:ascii="Arial" w:hAnsi="Arial" w:cs="Arial"/>
          <w:b/>
          <w:bCs/>
          <w:color w:val="000000" w:themeColor="text1"/>
          <w:lang w:eastAsia="zh-CN"/>
        </w:rPr>
        <w:t xml:space="preserve">: </w:t>
      </w:r>
      <w:r w:rsidR="00E55B25" w:rsidRPr="00E55B25">
        <w:rPr>
          <w:rFonts w:ascii="Arial" w:hAnsi="Arial" w:cs="Arial"/>
          <w:b/>
          <w:bCs/>
          <w:color w:val="000000" w:themeColor="text1"/>
          <w:lang w:eastAsia="zh-CN"/>
        </w:rPr>
        <w:t>For CPA, there is no source SN, therefore, T310 and T312 thresholds for CPA cannot be provisioned.</w:t>
      </w:r>
    </w:p>
    <w:p w14:paraId="651FCF81" w14:textId="10686680" w:rsidR="008C6482" w:rsidRDefault="008C6482" w:rsidP="00E60D0E">
      <w:pPr>
        <w:rPr>
          <w:rFonts w:ascii="Arial" w:hAnsi="Arial" w:cs="Arial"/>
          <w:b/>
          <w:bCs/>
          <w:color w:val="000000" w:themeColor="text1"/>
          <w:lang w:eastAsia="zh-CN"/>
        </w:rPr>
      </w:pPr>
    </w:p>
    <w:p w14:paraId="1030FFCA" w14:textId="19425775" w:rsidR="008C6482" w:rsidRPr="00E55B25" w:rsidRDefault="008C6482" w:rsidP="00E60D0E">
      <w:pPr>
        <w:rPr>
          <w:rFonts w:ascii="Arial" w:hAnsi="Arial" w:cs="Arial"/>
          <w:b/>
          <w:bCs/>
          <w:color w:val="000000" w:themeColor="text1"/>
          <w:lang w:eastAsia="zh-CN"/>
        </w:rPr>
      </w:pPr>
      <w:r>
        <w:rPr>
          <w:rFonts w:ascii="Arial" w:hAnsi="Arial" w:cs="Arial"/>
          <w:b/>
          <w:bCs/>
          <w:color w:val="000000" w:themeColor="text1"/>
          <w:lang w:eastAsia="zh-CN"/>
        </w:rPr>
        <w:t xml:space="preserve">Proposal 7: For CPA, </w:t>
      </w:r>
      <w:r w:rsidR="00995F87">
        <w:rPr>
          <w:rFonts w:ascii="Arial" w:hAnsi="Arial" w:cs="Arial"/>
          <w:b/>
          <w:bCs/>
          <w:color w:val="000000" w:themeColor="text1"/>
          <w:lang w:eastAsia="zh-CN"/>
        </w:rPr>
        <w:t xml:space="preserve">the </w:t>
      </w:r>
      <w:r w:rsidR="00E95CD4">
        <w:rPr>
          <w:rFonts w:ascii="Arial" w:hAnsi="Arial" w:cs="Arial"/>
          <w:b/>
          <w:bCs/>
          <w:color w:val="000000" w:themeColor="text1"/>
          <w:lang w:eastAsia="zh-CN"/>
        </w:rPr>
        <w:t xml:space="preserve">T304 </w:t>
      </w:r>
      <w:r w:rsidR="00783E3C" w:rsidRPr="008E42A5">
        <w:rPr>
          <w:rFonts w:ascii="Arial" w:hAnsi="Arial" w:cs="Arial"/>
          <w:b/>
          <w:bCs/>
          <w:color w:val="000000" w:themeColor="text1"/>
          <w:lang w:eastAsia="zh-CN"/>
        </w:rPr>
        <w:t>trigger</w:t>
      </w:r>
      <w:r w:rsidR="00783E3C">
        <w:rPr>
          <w:rFonts w:ascii="Arial" w:hAnsi="Arial" w:cs="Arial"/>
          <w:b/>
          <w:bCs/>
          <w:color w:val="000000" w:themeColor="text1"/>
          <w:lang w:eastAsia="zh-CN"/>
        </w:rPr>
        <w:t xml:space="preserve"> </w:t>
      </w:r>
      <w:r w:rsidR="00783E3C" w:rsidRPr="008E42A5">
        <w:rPr>
          <w:rFonts w:ascii="Arial" w:hAnsi="Arial" w:cs="Arial"/>
          <w:b/>
          <w:bCs/>
          <w:color w:val="000000" w:themeColor="text1"/>
          <w:lang w:eastAsia="zh-CN"/>
        </w:rPr>
        <w:t>(</w:t>
      </w:r>
      <w:proofErr w:type="spellStart"/>
      <w:r w:rsidR="00783E3C" w:rsidRPr="008E42A5">
        <w:rPr>
          <w:rFonts w:ascii="Arial" w:hAnsi="Arial" w:cs="Arial"/>
          <w:b/>
          <w:bCs/>
          <w:color w:val="000000" w:themeColor="text1"/>
          <w:lang w:eastAsia="zh-CN"/>
        </w:rPr>
        <w:t>e.g</w:t>
      </w:r>
      <w:proofErr w:type="spellEnd"/>
      <w:r w:rsidR="00783E3C" w:rsidRPr="008E42A5">
        <w:rPr>
          <w:rFonts w:ascii="Arial" w:hAnsi="Arial" w:cs="Arial"/>
          <w:b/>
          <w:bCs/>
          <w:color w:val="000000" w:themeColor="text1"/>
          <w:lang w:eastAsia="zh-CN"/>
        </w:rPr>
        <w:t xml:space="preserve"> timer threshold)</w:t>
      </w:r>
      <w:r w:rsidR="00783E3C">
        <w:rPr>
          <w:rFonts w:ascii="Arial" w:hAnsi="Arial" w:cs="Arial"/>
          <w:b/>
          <w:bCs/>
          <w:color w:val="000000" w:themeColor="text1"/>
          <w:lang w:eastAsia="zh-CN"/>
        </w:rPr>
        <w:t xml:space="preserve"> is configured </w:t>
      </w:r>
      <w:r w:rsidR="00995F87">
        <w:rPr>
          <w:rFonts w:ascii="Arial" w:hAnsi="Arial" w:cs="Arial"/>
          <w:b/>
          <w:bCs/>
          <w:color w:val="000000" w:themeColor="text1"/>
          <w:lang w:eastAsia="zh-CN"/>
        </w:rPr>
        <w:t>by the target SN. T310/T312 triggers are not configured for CPA.</w:t>
      </w:r>
    </w:p>
    <w:p w14:paraId="44CB775D" w14:textId="77777777" w:rsidR="005A3591" w:rsidRDefault="005A3591" w:rsidP="00290381">
      <w:pPr>
        <w:rPr>
          <w:rFonts w:ascii="Arial" w:hAnsi="Arial" w:cs="Arial"/>
          <w:szCs w:val="20"/>
          <w:lang w:val="en-GB" w:eastAsia="zh-CN"/>
        </w:rPr>
      </w:pPr>
    </w:p>
    <w:p w14:paraId="4C0ED35E" w14:textId="5FB64B0B" w:rsidR="00ED7823" w:rsidRDefault="00290381" w:rsidP="00290381">
      <w:pPr>
        <w:rPr>
          <w:rFonts w:ascii="Arial" w:hAnsi="Arial" w:cs="Arial"/>
          <w:lang w:val="en-GB"/>
        </w:rPr>
      </w:pPr>
      <w:r w:rsidRPr="00992964">
        <w:rPr>
          <w:rFonts w:ascii="Arial" w:hAnsi="Arial" w:cs="Arial"/>
          <w:szCs w:val="20"/>
          <w:lang w:val="en-GB" w:eastAsia="zh-CN"/>
        </w:rPr>
        <w:t>In the RAN2#120 meeting</w:t>
      </w:r>
      <w:r w:rsidR="00F302A9" w:rsidRPr="00992964">
        <w:rPr>
          <w:rFonts w:ascii="Arial" w:hAnsi="Arial" w:cs="Arial"/>
          <w:szCs w:val="20"/>
          <w:lang w:val="en-GB" w:eastAsia="zh-CN"/>
        </w:rPr>
        <w:t xml:space="preserve"> [2]</w:t>
      </w:r>
      <w:r w:rsidRPr="00992964">
        <w:rPr>
          <w:rFonts w:ascii="Arial" w:hAnsi="Arial" w:cs="Arial"/>
          <w:szCs w:val="20"/>
          <w:lang w:val="en-GB" w:eastAsia="zh-CN"/>
        </w:rPr>
        <w:t xml:space="preserve">, RAN2 agreed that for </w:t>
      </w:r>
      <w:r w:rsidRPr="00992964">
        <w:rPr>
          <w:rFonts w:ascii="Arial" w:hAnsi="Arial" w:cs="Arial"/>
          <w:lang w:val="en-GB"/>
        </w:rPr>
        <w:t>the MN-initiated PSCell Change/Addition, MN sends the SPR config to the UE</w:t>
      </w:r>
      <w:r w:rsidR="00386F59" w:rsidRPr="00992964">
        <w:rPr>
          <w:rFonts w:ascii="Arial" w:hAnsi="Arial" w:cs="Arial"/>
          <w:lang w:val="en-GB"/>
        </w:rPr>
        <w:t xml:space="preserve">. However, </w:t>
      </w:r>
      <w:r w:rsidR="00F0022C" w:rsidRPr="00992964">
        <w:rPr>
          <w:rFonts w:ascii="Arial" w:hAnsi="Arial" w:cs="Arial"/>
          <w:lang w:val="en-GB"/>
        </w:rPr>
        <w:t xml:space="preserve">note that to configure T310/T312 thresholds, MN </w:t>
      </w:r>
      <w:r w:rsidR="00E33C0E">
        <w:rPr>
          <w:rFonts w:ascii="Arial" w:hAnsi="Arial" w:cs="Arial"/>
          <w:lang w:val="en-GB"/>
        </w:rPr>
        <w:t xml:space="preserve">may </w:t>
      </w:r>
      <w:r w:rsidR="00F0022C" w:rsidRPr="00992964">
        <w:rPr>
          <w:rFonts w:ascii="Arial" w:hAnsi="Arial" w:cs="Arial"/>
          <w:lang w:val="en-GB"/>
        </w:rPr>
        <w:t xml:space="preserve">need to know the actual </w:t>
      </w:r>
      <w:r w:rsidR="000A5BFE" w:rsidRPr="00992964">
        <w:rPr>
          <w:rFonts w:ascii="Arial" w:hAnsi="Arial" w:cs="Arial"/>
          <w:lang w:val="en-GB"/>
        </w:rPr>
        <w:t xml:space="preserve">values of T310/T312 values. </w:t>
      </w:r>
      <w:r w:rsidR="00ED7823">
        <w:rPr>
          <w:rFonts w:ascii="Arial" w:hAnsi="Arial" w:cs="Arial"/>
          <w:lang w:val="en-GB"/>
        </w:rPr>
        <w:t>Therefore, t</w:t>
      </w:r>
      <w:r w:rsidR="001A2B1C">
        <w:rPr>
          <w:rFonts w:ascii="Arial" w:hAnsi="Arial" w:cs="Arial"/>
          <w:lang w:val="en-GB"/>
        </w:rPr>
        <w:t>here are the following options for</w:t>
      </w:r>
      <w:r w:rsidR="00E03CF2">
        <w:rPr>
          <w:rFonts w:ascii="Arial" w:hAnsi="Arial" w:cs="Arial"/>
          <w:lang w:val="en-GB"/>
        </w:rPr>
        <w:t xml:space="preserve"> </w:t>
      </w:r>
      <w:r w:rsidR="00E33C0E">
        <w:rPr>
          <w:rFonts w:ascii="Arial" w:hAnsi="Arial" w:cs="Arial"/>
          <w:lang w:val="en-GB"/>
        </w:rPr>
        <w:t>deciding</w:t>
      </w:r>
      <w:r w:rsidR="00ED7823">
        <w:rPr>
          <w:rFonts w:ascii="Arial" w:hAnsi="Arial" w:cs="Arial"/>
          <w:lang w:val="en-GB"/>
        </w:rPr>
        <w:t xml:space="preserve"> </w:t>
      </w:r>
      <w:r w:rsidR="00E03CF2">
        <w:rPr>
          <w:rFonts w:ascii="Arial" w:hAnsi="Arial" w:cs="Arial"/>
          <w:lang w:val="en-GB"/>
        </w:rPr>
        <w:t>T310/T312 threshold</w:t>
      </w:r>
      <w:r w:rsidR="00ED7823">
        <w:rPr>
          <w:rFonts w:ascii="Arial" w:hAnsi="Arial" w:cs="Arial"/>
          <w:lang w:val="en-GB"/>
        </w:rPr>
        <w:t>s:</w:t>
      </w:r>
      <w:r w:rsidR="00E33C0E">
        <w:rPr>
          <w:rFonts w:ascii="Arial" w:hAnsi="Arial" w:cs="Arial"/>
          <w:lang w:val="en-GB"/>
        </w:rPr>
        <w:t xml:space="preserve"> </w:t>
      </w:r>
    </w:p>
    <w:p w14:paraId="67A99DED" w14:textId="56998B7F" w:rsidR="00ED7823" w:rsidRDefault="00ED7823" w:rsidP="00ED7823">
      <w:pPr>
        <w:pStyle w:val="ListParagraph"/>
        <w:numPr>
          <w:ilvl w:val="0"/>
          <w:numId w:val="43"/>
        </w:numPr>
        <w:rPr>
          <w:rFonts w:ascii="Arial" w:hAnsi="Arial" w:cs="Arial"/>
          <w:lang w:val="en-GB"/>
        </w:rPr>
      </w:pPr>
      <w:r>
        <w:rPr>
          <w:rFonts w:ascii="Arial" w:hAnsi="Arial" w:cs="Arial"/>
          <w:lang w:val="en-GB"/>
        </w:rPr>
        <w:t>Option 1:</w:t>
      </w:r>
      <w:r w:rsidR="005C6CB9">
        <w:rPr>
          <w:rFonts w:ascii="Arial" w:hAnsi="Arial" w:cs="Arial"/>
          <w:lang w:val="en-GB"/>
        </w:rPr>
        <w:t xml:space="preserve"> </w:t>
      </w:r>
      <w:r w:rsidR="00B44511" w:rsidRPr="00B44511">
        <w:rPr>
          <w:rFonts w:ascii="Arial" w:hAnsi="Arial" w:cs="Arial"/>
          <w:lang w:val="en-GB"/>
        </w:rPr>
        <w:t xml:space="preserve">MN decides T310/T312 threshold for SPR, </w:t>
      </w:r>
      <w:r w:rsidR="005C2BCD">
        <w:rPr>
          <w:rFonts w:ascii="Arial" w:hAnsi="Arial" w:cs="Arial"/>
          <w:lang w:val="en-GB"/>
        </w:rPr>
        <w:t xml:space="preserve">and </w:t>
      </w:r>
      <w:r w:rsidR="00B44511" w:rsidRPr="00B44511">
        <w:rPr>
          <w:rFonts w:ascii="Arial" w:hAnsi="Arial" w:cs="Arial"/>
          <w:lang w:val="en-GB"/>
        </w:rPr>
        <w:t xml:space="preserve">SN </w:t>
      </w:r>
      <w:proofErr w:type="gramStart"/>
      <w:r w:rsidR="00B44511" w:rsidRPr="00B44511">
        <w:rPr>
          <w:rFonts w:ascii="Arial" w:hAnsi="Arial" w:cs="Arial"/>
          <w:lang w:val="en-GB"/>
        </w:rPr>
        <w:t>provides assistance</w:t>
      </w:r>
      <w:proofErr w:type="gramEnd"/>
      <w:r w:rsidR="00B44511" w:rsidRPr="00B44511">
        <w:rPr>
          <w:rFonts w:ascii="Arial" w:hAnsi="Arial" w:cs="Arial"/>
          <w:lang w:val="en-GB"/>
        </w:rPr>
        <w:t xml:space="preserve"> (i.e., configured T310/T312 values) to MN via Xn </w:t>
      </w:r>
      <w:proofErr w:type="spellStart"/>
      <w:r w:rsidR="00B44511" w:rsidRPr="00B44511">
        <w:rPr>
          <w:rFonts w:ascii="Arial" w:hAnsi="Arial" w:cs="Arial"/>
          <w:lang w:val="en-GB"/>
        </w:rPr>
        <w:t>signaling</w:t>
      </w:r>
      <w:proofErr w:type="spellEnd"/>
      <w:r w:rsidR="00B44511" w:rsidRPr="00B44511">
        <w:rPr>
          <w:rFonts w:ascii="Arial" w:hAnsi="Arial" w:cs="Arial"/>
          <w:lang w:val="en-GB"/>
        </w:rPr>
        <w:t xml:space="preserve"> for deciding T310/T312 thresholds</w:t>
      </w:r>
    </w:p>
    <w:p w14:paraId="0E80EDF4" w14:textId="5B897AE6" w:rsidR="001A2B1C" w:rsidRDefault="00ED7823" w:rsidP="00ED7823">
      <w:pPr>
        <w:pStyle w:val="ListParagraph"/>
        <w:numPr>
          <w:ilvl w:val="0"/>
          <w:numId w:val="43"/>
        </w:numPr>
        <w:rPr>
          <w:rFonts w:ascii="Arial" w:hAnsi="Arial" w:cs="Arial"/>
          <w:lang w:val="en-GB"/>
        </w:rPr>
      </w:pPr>
      <w:r>
        <w:rPr>
          <w:rFonts w:ascii="Arial" w:hAnsi="Arial" w:cs="Arial"/>
          <w:lang w:val="en-GB"/>
        </w:rPr>
        <w:t>Option 2:</w:t>
      </w:r>
      <w:r w:rsidR="00E03CF2" w:rsidRPr="00ED7823">
        <w:rPr>
          <w:rFonts w:ascii="Arial" w:hAnsi="Arial" w:cs="Arial"/>
          <w:lang w:val="en-GB"/>
        </w:rPr>
        <w:t xml:space="preserve"> </w:t>
      </w:r>
      <w:r w:rsidR="001E1FDD" w:rsidRPr="001E1FDD">
        <w:rPr>
          <w:rFonts w:ascii="Arial" w:hAnsi="Arial" w:cs="Arial"/>
          <w:lang w:val="en-GB"/>
        </w:rPr>
        <w:t>Source SN decides T310/T312 threshold for SPR and indicate</w:t>
      </w:r>
      <w:r w:rsidR="005C2BCD">
        <w:rPr>
          <w:rFonts w:ascii="Arial" w:hAnsi="Arial" w:cs="Arial"/>
          <w:lang w:val="en-GB"/>
        </w:rPr>
        <w:t>s</w:t>
      </w:r>
      <w:r w:rsidR="001E1FDD" w:rsidRPr="001E1FDD">
        <w:rPr>
          <w:rFonts w:ascii="Arial" w:hAnsi="Arial" w:cs="Arial"/>
          <w:lang w:val="en-GB"/>
        </w:rPr>
        <w:t xml:space="preserve"> MN via Xn </w:t>
      </w:r>
      <w:proofErr w:type="spellStart"/>
      <w:r w:rsidR="001E1FDD" w:rsidRPr="001E1FDD">
        <w:rPr>
          <w:rFonts w:ascii="Arial" w:hAnsi="Arial" w:cs="Arial"/>
          <w:lang w:val="en-GB"/>
        </w:rPr>
        <w:t>signaling</w:t>
      </w:r>
      <w:proofErr w:type="spellEnd"/>
      <w:r w:rsidR="001E1FDD" w:rsidRPr="001E1FDD">
        <w:rPr>
          <w:rFonts w:ascii="Arial" w:hAnsi="Arial" w:cs="Arial"/>
          <w:lang w:val="en-GB"/>
        </w:rPr>
        <w:t>, then send the threshold value to MN for configuration</w:t>
      </w:r>
    </w:p>
    <w:p w14:paraId="572504D1" w14:textId="68FB6155" w:rsidR="001E1FDD" w:rsidRPr="00ED7823" w:rsidRDefault="001E1FDD" w:rsidP="00ED7823">
      <w:pPr>
        <w:pStyle w:val="ListParagraph"/>
        <w:numPr>
          <w:ilvl w:val="0"/>
          <w:numId w:val="43"/>
        </w:numPr>
        <w:rPr>
          <w:rFonts w:ascii="Arial" w:hAnsi="Arial" w:cs="Arial"/>
          <w:lang w:val="en-GB"/>
        </w:rPr>
      </w:pPr>
      <w:r>
        <w:rPr>
          <w:rFonts w:ascii="Arial" w:hAnsi="Arial" w:cs="Arial"/>
          <w:lang w:val="en-GB"/>
        </w:rPr>
        <w:t xml:space="preserve">Option 3: </w:t>
      </w:r>
      <w:r w:rsidRPr="001E1FDD">
        <w:rPr>
          <w:rFonts w:ascii="Arial" w:hAnsi="Arial" w:cs="Arial"/>
          <w:lang w:val="en-GB"/>
        </w:rPr>
        <w:t>Source SN decides T310/T312 th</w:t>
      </w:r>
      <w:r w:rsidR="005C2BCD">
        <w:rPr>
          <w:rFonts w:ascii="Arial" w:hAnsi="Arial" w:cs="Arial"/>
          <w:lang w:val="en-GB"/>
        </w:rPr>
        <w:t>r</w:t>
      </w:r>
      <w:r w:rsidRPr="001E1FDD">
        <w:rPr>
          <w:rFonts w:ascii="Arial" w:hAnsi="Arial" w:cs="Arial"/>
          <w:lang w:val="en-GB"/>
        </w:rPr>
        <w:t>eshold for SPR and configure</w:t>
      </w:r>
      <w:r w:rsidR="005C2BCD">
        <w:rPr>
          <w:rFonts w:ascii="Arial" w:hAnsi="Arial" w:cs="Arial"/>
          <w:lang w:val="en-GB"/>
        </w:rPr>
        <w:t>s</w:t>
      </w:r>
      <w:r w:rsidRPr="001E1FDD">
        <w:rPr>
          <w:rFonts w:ascii="Arial" w:hAnsi="Arial" w:cs="Arial"/>
          <w:lang w:val="en-GB"/>
        </w:rPr>
        <w:t xml:space="preserve"> UE via SN RRCReconfiguration</w:t>
      </w:r>
    </w:p>
    <w:p w14:paraId="344756C8" w14:textId="77777777" w:rsidR="001A2B1C" w:rsidRDefault="001A2B1C" w:rsidP="00290381">
      <w:pPr>
        <w:rPr>
          <w:rFonts w:ascii="Arial" w:hAnsi="Arial" w:cs="Arial"/>
          <w:lang w:val="en-GB"/>
        </w:rPr>
      </w:pPr>
    </w:p>
    <w:p w14:paraId="35E1DABC" w14:textId="3D4D66C3" w:rsidR="001A2B1C" w:rsidRPr="00BF76CD" w:rsidRDefault="00A34605" w:rsidP="00290381">
      <w:pPr>
        <w:rPr>
          <w:rFonts w:ascii="Arial" w:hAnsi="Arial" w:cs="Arial"/>
          <w:b/>
          <w:bCs/>
          <w:lang w:val="en-GB"/>
        </w:rPr>
      </w:pPr>
      <w:r w:rsidRPr="00BF76CD">
        <w:rPr>
          <w:rFonts w:ascii="Arial" w:hAnsi="Arial" w:cs="Arial"/>
          <w:b/>
          <w:bCs/>
          <w:lang w:val="en-GB"/>
        </w:rPr>
        <w:t>Proposal</w:t>
      </w:r>
      <w:r w:rsidR="002A6E65" w:rsidRPr="00BF76CD">
        <w:rPr>
          <w:rFonts w:ascii="Arial" w:hAnsi="Arial" w:cs="Arial"/>
          <w:b/>
          <w:bCs/>
          <w:lang w:val="en-GB"/>
        </w:rPr>
        <w:t xml:space="preserve"> </w:t>
      </w:r>
      <w:r w:rsidR="00FC0347" w:rsidRPr="00BF76CD">
        <w:rPr>
          <w:rFonts w:ascii="Arial" w:hAnsi="Arial" w:cs="Arial"/>
          <w:b/>
          <w:bCs/>
          <w:lang w:val="en-GB"/>
        </w:rPr>
        <w:t>8</w:t>
      </w:r>
      <w:r w:rsidR="002A6E65" w:rsidRPr="00BF76CD">
        <w:rPr>
          <w:rFonts w:ascii="Arial" w:hAnsi="Arial" w:cs="Arial"/>
          <w:b/>
          <w:bCs/>
          <w:lang w:val="en-GB"/>
        </w:rPr>
        <w:t>: RAN2 should discuss the following two methods for determining/configuring T310/T312 threshold at the UE,</w:t>
      </w:r>
    </w:p>
    <w:p w14:paraId="5377FE6E" w14:textId="7CAC8777" w:rsidR="00B44511" w:rsidRPr="00BF76CD" w:rsidRDefault="00B44511" w:rsidP="003422F4">
      <w:pPr>
        <w:pStyle w:val="ListParagraph"/>
        <w:numPr>
          <w:ilvl w:val="0"/>
          <w:numId w:val="44"/>
        </w:numPr>
        <w:ind w:left="1080" w:hanging="270"/>
        <w:rPr>
          <w:rFonts w:ascii="Arial" w:hAnsi="Arial" w:cs="Arial"/>
          <w:b/>
          <w:bCs/>
          <w:lang w:val="en-GB"/>
        </w:rPr>
      </w:pPr>
      <w:r w:rsidRPr="00BF76CD">
        <w:rPr>
          <w:rFonts w:ascii="Arial" w:hAnsi="Arial" w:cs="Arial"/>
          <w:b/>
          <w:bCs/>
          <w:lang w:val="en-GB"/>
        </w:rPr>
        <w:t>MN decides T310/T312 threshold for SPR</w:t>
      </w:r>
      <w:r w:rsidR="009715A0" w:rsidRPr="00BF76CD">
        <w:rPr>
          <w:rFonts w:ascii="Arial" w:hAnsi="Arial" w:cs="Arial"/>
          <w:b/>
          <w:bCs/>
          <w:lang w:val="en-GB"/>
        </w:rPr>
        <w:t xml:space="preserve"> after </w:t>
      </w:r>
      <w:r w:rsidRPr="00BF76CD">
        <w:rPr>
          <w:rFonts w:ascii="Arial" w:hAnsi="Arial" w:cs="Arial"/>
          <w:b/>
          <w:bCs/>
          <w:lang w:val="en-GB"/>
        </w:rPr>
        <w:t xml:space="preserve">SN </w:t>
      </w:r>
      <w:proofErr w:type="gramStart"/>
      <w:r w:rsidRPr="00BF76CD">
        <w:rPr>
          <w:rFonts w:ascii="Arial" w:hAnsi="Arial" w:cs="Arial"/>
          <w:b/>
          <w:bCs/>
          <w:lang w:val="en-GB"/>
        </w:rPr>
        <w:t>provides assistance</w:t>
      </w:r>
      <w:proofErr w:type="gramEnd"/>
      <w:r w:rsidRPr="00BF76CD">
        <w:rPr>
          <w:rFonts w:ascii="Arial" w:hAnsi="Arial" w:cs="Arial"/>
          <w:b/>
          <w:bCs/>
          <w:lang w:val="en-GB"/>
        </w:rPr>
        <w:t xml:space="preserve"> (i.e., configured T310/T312 values) to MN via Xn </w:t>
      </w:r>
      <w:proofErr w:type="spellStart"/>
      <w:r w:rsidRPr="00BF76CD">
        <w:rPr>
          <w:rFonts w:ascii="Arial" w:hAnsi="Arial" w:cs="Arial"/>
          <w:b/>
          <w:bCs/>
          <w:lang w:val="en-GB"/>
        </w:rPr>
        <w:t>signaling</w:t>
      </w:r>
      <w:proofErr w:type="spellEnd"/>
      <w:r w:rsidRPr="00BF76CD">
        <w:rPr>
          <w:rFonts w:ascii="Arial" w:hAnsi="Arial" w:cs="Arial"/>
          <w:b/>
          <w:bCs/>
          <w:lang w:val="en-GB"/>
        </w:rPr>
        <w:t xml:space="preserve"> for deciding T310/T312 thresholds</w:t>
      </w:r>
      <w:r w:rsidR="007C0BB4" w:rsidRPr="00BF76CD">
        <w:rPr>
          <w:rFonts w:ascii="Arial" w:hAnsi="Arial" w:cs="Arial"/>
          <w:b/>
          <w:bCs/>
          <w:lang w:val="en-GB"/>
        </w:rPr>
        <w:t xml:space="preserve">. </w:t>
      </w:r>
      <w:r w:rsidR="002B1111" w:rsidRPr="00BF76CD">
        <w:rPr>
          <w:rFonts w:ascii="Arial" w:hAnsi="Arial" w:cs="Arial"/>
          <w:b/>
          <w:bCs/>
        </w:rPr>
        <w:t xml:space="preserve">MN configures the T310/T312 SPR </w:t>
      </w:r>
      <w:r w:rsidR="00BF76CD" w:rsidRPr="00BF76CD">
        <w:rPr>
          <w:rFonts w:ascii="Arial" w:hAnsi="Arial" w:cs="Arial"/>
          <w:b/>
          <w:bCs/>
        </w:rPr>
        <w:t>thresholds</w:t>
      </w:r>
      <w:r w:rsidR="002B1111" w:rsidRPr="00BF76CD">
        <w:rPr>
          <w:rFonts w:ascii="Arial" w:hAnsi="Arial" w:cs="Arial"/>
          <w:b/>
          <w:bCs/>
        </w:rPr>
        <w:t xml:space="preserve"> to UE via MN RRCReconfig</w:t>
      </w:r>
      <w:r w:rsidR="00BF76CD" w:rsidRPr="00BF76CD">
        <w:rPr>
          <w:rFonts w:ascii="Arial" w:hAnsi="Arial" w:cs="Arial"/>
          <w:b/>
          <w:bCs/>
        </w:rPr>
        <w:t>uration</w:t>
      </w:r>
      <w:r w:rsidR="002B1111" w:rsidRPr="00BF76CD">
        <w:rPr>
          <w:rFonts w:ascii="Arial" w:hAnsi="Arial" w:cs="Arial"/>
          <w:b/>
          <w:bCs/>
        </w:rPr>
        <w:t>.</w:t>
      </w:r>
      <w:r w:rsidRPr="00BF76CD">
        <w:rPr>
          <w:rFonts w:ascii="Arial" w:hAnsi="Arial" w:cs="Arial"/>
          <w:b/>
          <w:bCs/>
          <w:lang w:val="en-GB"/>
        </w:rPr>
        <w:t xml:space="preserve"> </w:t>
      </w:r>
    </w:p>
    <w:p w14:paraId="1C0990F8" w14:textId="23142326" w:rsidR="00506BA7" w:rsidRPr="00BF76CD" w:rsidRDefault="003422F4" w:rsidP="003422F4">
      <w:pPr>
        <w:pStyle w:val="ListParagraph"/>
        <w:numPr>
          <w:ilvl w:val="0"/>
          <w:numId w:val="44"/>
        </w:numPr>
        <w:ind w:left="1080" w:hanging="270"/>
        <w:rPr>
          <w:rFonts w:ascii="Arial" w:hAnsi="Arial" w:cs="Arial"/>
          <w:b/>
          <w:bCs/>
          <w:lang w:val="en-GB"/>
        </w:rPr>
      </w:pPr>
      <w:r w:rsidRPr="00BF76CD">
        <w:rPr>
          <w:rFonts w:ascii="Arial" w:hAnsi="Arial" w:cs="Arial"/>
          <w:b/>
          <w:bCs/>
          <w:lang w:val="en-GB"/>
        </w:rPr>
        <w:t xml:space="preserve">Source SN </w:t>
      </w:r>
      <w:r w:rsidR="00A03907" w:rsidRPr="00BF76CD">
        <w:rPr>
          <w:rFonts w:ascii="Arial" w:hAnsi="Arial" w:cs="Arial"/>
          <w:b/>
          <w:bCs/>
          <w:lang w:val="en-GB"/>
        </w:rPr>
        <w:t>decides</w:t>
      </w:r>
      <w:r w:rsidRPr="00BF76CD">
        <w:rPr>
          <w:rFonts w:ascii="Arial" w:hAnsi="Arial" w:cs="Arial"/>
          <w:b/>
          <w:bCs/>
          <w:lang w:val="en-GB"/>
        </w:rPr>
        <w:t xml:space="preserve"> T310/T312 threshold </w:t>
      </w:r>
      <w:r w:rsidR="00EC00E1" w:rsidRPr="00BF76CD">
        <w:rPr>
          <w:rFonts w:ascii="Arial" w:hAnsi="Arial" w:cs="Arial"/>
          <w:b/>
          <w:bCs/>
          <w:lang w:val="en-GB"/>
        </w:rPr>
        <w:t>for SPR and indicate</w:t>
      </w:r>
      <w:r w:rsidR="005C2BCD" w:rsidRPr="00BF76CD">
        <w:rPr>
          <w:rFonts w:ascii="Arial" w:hAnsi="Arial" w:cs="Arial"/>
          <w:b/>
          <w:bCs/>
          <w:lang w:val="en-GB"/>
        </w:rPr>
        <w:t>s</w:t>
      </w:r>
      <w:r w:rsidR="00EC00E1" w:rsidRPr="00BF76CD">
        <w:rPr>
          <w:rFonts w:ascii="Arial" w:hAnsi="Arial" w:cs="Arial"/>
          <w:b/>
          <w:bCs/>
          <w:lang w:val="en-GB"/>
        </w:rPr>
        <w:t xml:space="preserve"> MN via Xn </w:t>
      </w:r>
      <w:proofErr w:type="spellStart"/>
      <w:r w:rsidR="00EC00E1" w:rsidRPr="00BF76CD">
        <w:rPr>
          <w:rFonts w:ascii="Arial" w:hAnsi="Arial" w:cs="Arial"/>
          <w:b/>
          <w:bCs/>
          <w:lang w:val="en-GB"/>
        </w:rPr>
        <w:t>signaling</w:t>
      </w:r>
      <w:proofErr w:type="spellEnd"/>
      <w:r w:rsidR="002B1111" w:rsidRPr="00BF76CD">
        <w:rPr>
          <w:rFonts w:ascii="Arial" w:hAnsi="Arial" w:cs="Arial"/>
          <w:b/>
          <w:bCs/>
          <w:lang w:val="en-GB"/>
        </w:rPr>
        <w:t>.</w:t>
      </w:r>
      <w:r w:rsidR="00BF76CD" w:rsidRPr="00BF76CD">
        <w:rPr>
          <w:rFonts w:ascii="Arial" w:hAnsi="Arial" w:cs="Arial"/>
          <w:b/>
          <w:bCs/>
          <w:lang w:val="en-GB"/>
        </w:rPr>
        <w:t xml:space="preserve"> </w:t>
      </w:r>
      <w:r w:rsidR="00BF76CD" w:rsidRPr="00BF76CD">
        <w:rPr>
          <w:rFonts w:ascii="Arial" w:hAnsi="Arial" w:cs="Arial"/>
          <w:b/>
          <w:bCs/>
        </w:rPr>
        <w:t>MN configures the T310/T312 SPR threshold to UE via MN RRCReconfiguration.</w:t>
      </w:r>
    </w:p>
    <w:p w14:paraId="07A9B181" w14:textId="639F9299" w:rsidR="00EC00E1" w:rsidRPr="00BF76CD" w:rsidRDefault="00EC00E1" w:rsidP="003422F4">
      <w:pPr>
        <w:pStyle w:val="ListParagraph"/>
        <w:numPr>
          <w:ilvl w:val="0"/>
          <w:numId w:val="44"/>
        </w:numPr>
        <w:ind w:left="1080" w:hanging="270"/>
        <w:rPr>
          <w:rFonts w:ascii="Arial" w:hAnsi="Arial" w:cs="Arial"/>
          <w:b/>
          <w:bCs/>
          <w:lang w:val="en-GB"/>
        </w:rPr>
      </w:pPr>
      <w:r w:rsidRPr="00BF76CD">
        <w:rPr>
          <w:rFonts w:ascii="Arial" w:hAnsi="Arial" w:cs="Arial"/>
          <w:b/>
          <w:bCs/>
          <w:lang w:val="en-GB"/>
        </w:rPr>
        <w:t>Source SN decides T310/T312 th</w:t>
      </w:r>
      <w:r w:rsidR="005C2BCD" w:rsidRPr="00BF76CD">
        <w:rPr>
          <w:rFonts w:ascii="Arial" w:hAnsi="Arial" w:cs="Arial"/>
          <w:b/>
          <w:bCs/>
          <w:lang w:val="en-GB"/>
        </w:rPr>
        <w:t>r</w:t>
      </w:r>
      <w:r w:rsidRPr="00BF76CD">
        <w:rPr>
          <w:rFonts w:ascii="Arial" w:hAnsi="Arial" w:cs="Arial"/>
          <w:b/>
          <w:bCs/>
          <w:lang w:val="en-GB"/>
        </w:rPr>
        <w:t>eshold for SPR and configure</w:t>
      </w:r>
      <w:r w:rsidR="005C2BCD" w:rsidRPr="00BF76CD">
        <w:rPr>
          <w:rFonts w:ascii="Arial" w:hAnsi="Arial" w:cs="Arial"/>
          <w:b/>
          <w:bCs/>
          <w:lang w:val="en-GB"/>
        </w:rPr>
        <w:t>s</w:t>
      </w:r>
      <w:r w:rsidRPr="00BF76CD">
        <w:rPr>
          <w:rFonts w:ascii="Arial" w:hAnsi="Arial" w:cs="Arial"/>
          <w:b/>
          <w:bCs/>
          <w:lang w:val="en-GB"/>
        </w:rPr>
        <w:t xml:space="preserve"> UE via SN RRCReconfiguration</w:t>
      </w:r>
      <w:r w:rsidR="00BF76CD">
        <w:rPr>
          <w:rFonts w:ascii="Arial" w:hAnsi="Arial" w:cs="Arial"/>
          <w:b/>
          <w:bCs/>
          <w:lang w:val="en-GB"/>
        </w:rPr>
        <w:t>.</w:t>
      </w:r>
      <w:r w:rsidRPr="00BF76CD">
        <w:rPr>
          <w:rFonts w:ascii="Arial" w:hAnsi="Arial" w:cs="Arial"/>
          <w:b/>
          <w:bCs/>
          <w:lang w:val="en-GB"/>
        </w:rPr>
        <w:t xml:space="preserve"> </w:t>
      </w:r>
    </w:p>
    <w:p w14:paraId="63696999" w14:textId="640BF8DE" w:rsidR="00506BA7" w:rsidRDefault="00506BA7" w:rsidP="00506BA7">
      <w:pPr>
        <w:rPr>
          <w:rFonts w:ascii="Arial" w:hAnsi="Arial" w:cs="Arial"/>
          <w:lang w:val="en-GB"/>
        </w:rPr>
      </w:pPr>
    </w:p>
    <w:p w14:paraId="734D8385" w14:textId="7C64D610" w:rsidR="00921811" w:rsidRPr="00921811" w:rsidRDefault="00904BE9" w:rsidP="00921811">
      <w:pPr>
        <w:pStyle w:val="ListParagraph"/>
        <w:numPr>
          <w:ilvl w:val="0"/>
          <w:numId w:val="12"/>
        </w:numPr>
        <w:rPr>
          <w:rFonts w:ascii="Arial" w:hAnsi="Arial" w:cs="Arial"/>
          <w:b/>
          <w:bCs/>
          <w:sz w:val="22"/>
          <w:szCs w:val="22"/>
          <w:lang w:val="en-GB" w:eastAsia="zh-CN"/>
        </w:rPr>
      </w:pPr>
      <w:r>
        <w:rPr>
          <w:rFonts w:ascii="Arial" w:hAnsi="Arial" w:cs="Arial"/>
          <w:b/>
          <w:bCs/>
          <w:sz w:val="22"/>
          <w:szCs w:val="22"/>
          <w:lang w:val="en-GB" w:eastAsia="zh-CN"/>
        </w:rPr>
        <w:t>How long UE keeps SPR?</w:t>
      </w:r>
    </w:p>
    <w:p w14:paraId="5230A7D5" w14:textId="77777777" w:rsidR="007C4720" w:rsidRPr="004717E0" w:rsidRDefault="007C4720" w:rsidP="0061628B">
      <w:pPr>
        <w:rPr>
          <w:rFonts w:ascii="Arial" w:hAnsi="Arial" w:cs="Arial"/>
          <w:szCs w:val="20"/>
          <w:lang w:val="en-GB" w:eastAsia="zh-CN"/>
        </w:rPr>
      </w:pPr>
    </w:p>
    <w:p w14:paraId="1DF06807" w14:textId="5089D156" w:rsidR="0061628B" w:rsidRPr="004717E0" w:rsidRDefault="004A50BD" w:rsidP="0061628B">
      <w:pPr>
        <w:rPr>
          <w:rFonts w:ascii="Arial" w:hAnsi="Arial" w:cs="Arial"/>
          <w:szCs w:val="20"/>
          <w:lang w:val="en-GB" w:eastAsia="zh-CN"/>
        </w:rPr>
      </w:pPr>
      <w:r w:rsidRPr="004717E0">
        <w:rPr>
          <w:rFonts w:ascii="Arial" w:hAnsi="Arial" w:cs="Arial"/>
          <w:szCs w:val="20"/>
          <w:lang w:val="en-GB" w:eastAsia="zh-CN"/>
        </w:rPr>
        <w:t xml:space="preserve">Note that for SHR in Rel-17, a UE variable was introduced to store relevant measurements and information for the successful handover report. UE variable is released if the report is not retrieved by the network within 48 hours. </w:t>
      </w:r>
      <w:r w:rsidR="00F1055A" w:rsidRPr="004717E0">
        <w:rPr>
          <w:rFonts w:ascii="Arial" w:hAnsi="Arial" w:cs="Arial"/>
          <w:szCs w:val="20"/>
          <w:lang w:val="en-GB" w:eastAsia="zh-CN"/>
        </w:rPr>
        <w:t>Note that as agreed by RAN3, there can be different scenarios for generating SCPR</w:t>
      </w:r>
      <w:r w:rsidR="00F61B3D" w:rsidRPr="004717E0">
        <w:rPr>
          <w:rFonts w:ascii="Arial" w:hAnsi="Arial" w:cs="Arial"/>
          <w:szCs w:val="20"/>
          <w:lang w:val="en-GB" w:eastAsia="zh-CN"/>
        </w:rPr>
        <w:t xml:space="preserve"> as mentioned above. </w:t>
      </w:r>
      <w:r w:rsidR="00234534" w:rsidRPr="004717E0">
        <w:rPr>
          <w:rFonts w:ascii="Arial" w:hAnsi="Arial" w:cs="Arial"/>
          <w:szCs w:val="20"/>
          <w:lang w:val="en-GB" w:eastAsia="zh-CN"/>
        </w:rPr>
        <w:t xml:space="preserve">For MN-initiated CPC and CPA procedures, the execution conditions, measurement gaps, and others are determined by the MN. In another scenario, e.g., SN-initiated CPC or CPA, the execution conditions, measurement gaps, and others are determined by the source SN. </w:t>
      </w:r>
      <w:r w:rsidR="0061628B" w:rsidRPr="004717E0">
        <w:rPr>
          <w:rFonts w:ascii="Arial" w:hAnsi="Arial" w:cs="Arial"/>
          <w:szCs w:val="20"/>
          <w:lang w:val="en-GB" w:eastAsia="zh-CN"/>
        </w:rPr>
        <w:t>Therefore, for the SPC report, we can have the following two options for clearing the successful PSCell change report,</w:t>
      </w:r>
    </w:p>
    <w:p w14:paraId="2AD3A551" w14:textId="77777777" w:rsidR="0061628B" w:rsidRPr="004717E0" w:rsidRDefault="0061628B" w:rsidP="0061628B">
      <w:pPr>
        <w:pStyle w:val="ListParagraph"/>
        <w:numPr>
          <w:ilvl w:val="0"/>
          <w:numId w:val="13"/>
        </w:numPr>
        <w:rPr>
          <w:rFonts w:ascii="Arial" w:hAnsi="Arial" w:cs="Arial"/>
          <w:szCs w:val="20"/>
          <w:lang w:val="en-GB" w:eastAsia="zh-CN"/>
        </w:rPr>
      </w:pPr>
      <w:r w:rsidRPr="004717E0">
        <w:rPr>
          <w:rFonts w:ascii="Arial" w:hAnsi="Arial" w:cs="Arial"/>
          <w:b/>
          <w:bCs/>
          <w:szCs w:val="20"/>
          <w:lang w:val="en-GB" w:eastAsia="zh-CN"/>
        </w:rPr>
        <w:lastRenderedPageBreak/>
        <w:t>Clear after 48 hours if not retrieved by network</w:t>
      </w:r>
      <w:r w:rsidRPr="004717E0">
        <w:rPr>
          <w:rFonts w:ascii="Arial" w:hAnsi="Arial" w:cs="Arial"/>
          <w:szCs w:val="20"/>
          <w:lang w:val="en-GB" w:eastAsia="zh-CN"/>
        </w:rPr>
        <w:t xml:space="preserve">: UE generates the PSCell change report when configured trigger condition meets. Send the availability indicator in </w:t>
      </w:r>
      <w:proofErr w:type="spellStart"/>
      <w:r w:rsidRPr="004717E0">
        <w:rPr>
          <w:rFonts w:ascii="Arial" w:hAnsi="Arial" w:cs="Arial"/>
          <w:szCs w:val="20"/>
          <w:lang w:val="en-GB" w:eastAsia="zh-CN"/>
        </w:rPr>
        <w:t>RRCReconfigurationComplete</w:t>
      </w:r>
      <w:proofErr w:type="spellEnd"/>
      <w:r w:rsidRPr="004717E0">
        <w:rPr>
          <w:rFonts w:ascii="Arial" w:hAnsi="Arial" w:cs="Arial"/>
          <w:szCs w:val="20"/>
          <w:lang w:val="en-GB" w:eastAsia="zh-CN"/>
        </w:rPr>
        <w:t xml:space="preserve"> (containing </w:t>
      </w:r>
      <w:proofErr w:type="spellStart"/>
      <w:r w:rsidRPr="004717E0">
        <w:rPr>
          <w:rFonts w:ascii="Arial" w:hAnsi="Arial" w:cs="Arial"/>
          <w:szCs w:val="20"/>
          <w:lang w:val="en-GB" w:eastAsia="zh-CN"/>
        </w:rPr>
        <w:t>RRCReconfigurationWithSYNC</w:t>
      </w:r>
      <w:proofErr w:type="spellEnd"/>
      <w:r w:rsidRPr="004717E0">
        <w:rPr>
          <w:rFonts w:ascii="Arial" w:hAnsi="Arial" w:cs="Arial"/>
          <w:szCs w:val="20"/>
          <w:lang w:val="en-GB" w:eastAsia="zh-CN"/>
        </w:rPr>
        <w:t xml:space="preserve"> for SCG), and other RRC complete messages. Clear after 48 hours if not retrieved by the network. </w:t>
      </w:r>
    </w:p>
    <w:p w14:paraId="1479E6ED" w14:textId="77777777" w:rsidR="0061628B" w:rsidRPr="004717E0" w:rsidRDefault="0061628B" w:rsidP="0061628B">
      <w:pPr>
        <w:pStyle w:val="ListParagraph"/>
        <w:numPr>
          <w:ilvl w:val="0"/>
          <w:numId w:val="13"/>
        </w:numPr>
        <w:rPr>
          <w:rFonts w:ascii="Arial" w:hAnsi="Arial" w:cs="Arial"/>
          <w:szCs w:val="20"/>
          <w:lang w:val="en-GB" w:eastAsia="zh-CN"/>
        </w:rPr>
      </w:pPr>
      <w:r w:rsidRPr="004717E0">
        <w:rPr>
          <w:rFonts w:ascii="Arial" w:hAnsi="Arial" w:cs="Arial"/>
          <w:b/>
          <w:bCs/>
          <w:szCs w:val="20"/>
          <w:lang w:val="en-GB" w:eastAsia="zh-CN"/>
        </w:rPr>
        <w:t>C</w:t>
      </w:r>
      <w:r w:rsidRPr="004717E0">
        <w:rPr>
          <w:rFonts w:ascii="Arial" w:hAnsi="Arial" w:cs="Arial"/>
          <w:b/>
          <w:bCs/>
          <w:sz w:val="22"/>
          <w:szCs w:val="22"/>
          <w:lang w:val="en-GB" w:eastAsia="zh-CN"/>
        </w:rPr>
        <w:t xml:space="preserve">lear upon PCell change: </w:t>
      </w:r>
      <w:r w:rsidRPr="004717E0">
        <w:rPr>
          <w:rFonts w:ascii="Arial" w:hAnsi="Arial" w:cs="Arial"/>
          <w:szCs w:val="20"/>
          <w:lang w:val="en-GB" w:eastAsia="zh-CN"/>
        </w:rPr>
        <w:t xml:space="preserve">UE generates the PSCell change report when configured trigger condition meets. Send the availability indicator in </w:t>
      </w:r>
      <w:proofErr w:type="spellStart"/>
      <w:r w:rsidRPr="004717E0">
        <w:rPr>
          <w:rFonts w:ascii="Arial" w:hAnsi="Arial" w:cs="Arial"/>
          <w:szCs w:val="20"/>
          <w:lang w:val="en-GB" w:eastAsia="zh-CN"/>
        </w:rPr>
        <w:t>RRCReconfigurationComplete</w:t>
      </w:r>
      <w:proofErr w:type="spellEnd"/>
      <w:r w:rsidRPr="004717E0">
        <w:rPr>
          <w:rFonts w:ascii="Arial" w:hAnsi="Arial" w:cs="Arial"/>
          <w:szCs w:val="20"/>
          <w:lang w:val="en-GB" w:eastAsia="zh-CN"/>
        </w:rPr>
        <w:t xml:space="preserve"> (containing </w:t>
      </w:r>
      <w:proofErr w:type="spellStart"/>
      <w:r w:rsidRPr="004717E0">
        <w:rPr>
          <w:rFonts w:ascii="Arial" w:hAnsi="Arial" w:cs="Arial"/>
          <w:szCs w:val="20"/>
          <w:lang w:val="en-GB" w:eastAsia="zh-CN"/>
        </w:rPr>
        <w:t>RRCReconfigurationWithSYNC</w:t>
      </w:r>
      <w:proofErr w:type="spellEnd"/>
      <w:r w:rsidRPr="004717E0">
        <w:rPr>
          <w:rFonts w:ascii="Arial" w:hAnsi="Arial" w:cs="Arial"/>
          <w:szCs w:val="20"/>
          <w:lang w:val="en-GB" w:eastAsia="zh-CN"/>
        </w:rPr>
        <w:t xml:space="preserve"> for SCG) messages. Clear after UE changes PCell. </w:t>
      </w:r>
    </w:p>
    <w:p w14:paraId="2F8532E2" w14:textId="239CC50D" w:rsidR="00A046A3" w:rsidRPr="004717E0" w:rsidRDefault="00A046A3" w:rsidP="00143B64">
      <w:pPr>
        <w:rPr>
          <w:rFonts w:ascii="Arial" w:hAnsi="Arial" w:cs="Arial"/>
          <w:szCs w:val="20"/>
          <w:lang w:val="en-GB" w:eastAsia="zh-CN"/>
        </w:rPr>
      </w:pPr>
    </w:p>
    <w:p w14:paraId="760EC9F0" w14:textId="152C278C" w:rsidR="002B0F80" w:rsidRPr="004717E0" w:rsidRDefault="00C50DD1" w:rsidP="002B0F80">
      <w:pPr>
        <w:rPr>
          <w:rFonts w:ascii="Arial" w:hAnsi="Arial" w:cs="Arial"/>
          <w:b/>
          <w:bCs/>
          <w:szCs w:val="20"/>
          <w:lang w:val="en-GB" w:eastAsia="zh-CN"/>
        </w:rPr>
      </w:pPr>
      <w:r w:rsidRPr="004717E0">
        <w:rPr>
          <w:rFonts w:ascii="Arial" w:hAnsi="Arial" w:cs="Arial"/>
          <w:b/>
          <w:bCs/>
          <w:szCs w:val="20"/>
          <w:lang w:val="en-GB" w:eastAsia="zh-CN"/>
        </w:rPr>
        <w:t xml:space="preserve">Observation </w:t>
      </w:r>
      <w:r w:rsidR="00FC0347">
        <w:rPr>
          <w:rFonts w:ascii="Arial" w:hAnsi="Arial" w:cs="Arial"/>
          <w:b/>
          <w:bCs/>
          <w:szCs w:val="20"/>
          <w:lang w:val="en-GB" w:eastAsia="zh-CN"/>
        </w:rPr>
        <w:t>4</w:t>
      </w:r>
      <w:r w:rsidR="002B0F80" w:rsidRPr="004717E0">
        <w:rPr>
          <w:rFonts w:ascii="Arial" w:hAnsi="Arial" w:cs="Arial"/>
          <w:b/>
          <w:bCs/>
          <w:szCs w:val="20"/>
          <w:lang w:val="en-GB" w:eastAsia="zh-CN"/>
        </w:rPr>
        <w:t>: There c</w:t>
      </w:r>
      <w:r w:rsidR="001D229D" w:rsidRPr="004717E0">
        <w:rPr>
          <w:rFonts w:ascii="Arial" w:hAnsi="Arial" w:cs="Arial"/>
          <w:b/>
          <w:bCs/>
          <w:szCs w:val="20"/>
          <w:lang w:val="en-GB" w:eastAsia="zh-CN"/>
        </w:rPr>
        <w:t>an</w:t>
      </w:r>
      <w:r w:rsidR="002B0F80" w:rsidRPr="004717E0">
        <w:rPr>
          <w:rFonts w:ascii="Arial" w:hAnsi="Arial" w:cs="Arial"/>
          <w:b/>
          <w:bCs/>
          <w:szCs w:val="20"/>
          <w:lang w:val="en-GB" w:eastAsia="zh-CN"/>
        </w:rPr>
        <w:t xml:space="preserve"> following two options for clearing the SPCR,</w:t>
      </w:r>
    </w:p>
    <w:p w14:paraId="3065EFF4" w14:textId="77777777" w:rsidR="002B0F80" w:rsidRPr="004717E0" w:rsidRDefault="002B0F80" w:rsidP="002B0F80">
      <w:pPr>
        <w:pStyle w:val="ListParagraph"/>
        <w:numPr>
          <w:ilvl w:val="0"/>
          <w:numId w:val="32"/>
        </w:numPr>
        <w:rPr>
          <w:rFonts w:ascii="Arial" w:hAnsi="Arial" w:cs="Arial"/>
          <w:b/>
          <w:bCs/>
          <w:szCs w:val="20"/>
          <w:lang w:val="en-GB" w:eastAsia="zh-CN"/>
        </w:rPr>
      </w:pPr>
      <w:r w:rsidRPr="004717E0">
        <w:rPr>
          <w:rFonts w:ascii="Arial" w:hAnsi="Arial" w:cs="Arial"/>
          <w:b/>
          <w:bCs/>
          <w:szCs w:val="20"/>
          <w:lang w:val="en-GB" w:eastAsia="zh-CN"/>
        </w:rPr>
        <w:t xml:space="preserve">Clear after 48 hours if not retrieved by network: UE generates the PSCell change report when configured trigger condition meets. Send the availability indicator in </w:t>
      </w:r>
      <w:proofErr w:type="spellStart"/>
      <w:r w:rsidRPr="004717E0">
        <w:rPr>
          <w:rFonts w:ascii="Arial" w:hAnsi="Arial" w:cs="Arial"/>
          <w:b/>
          <w:bCs/>
          <w:szCs w:val="20"/>
          <w:lang w:val="en-GB" w:eastAsia="zh-CN"/>
        </w:rPr>
        <w:t>RRCReconfigurationComplete</w:t>
      </w:r>
      <w:proofErr w:type="spellEnd"/>
      <w:r w:rsidRPr="004717E0">
        <w:rPr>
          <w:rFonts w:ascii="Arial" w:hAnsi="Arial" w:cs="Arial"/>
          <w:b/>
          <w:bCs/>
          <w:szCs w:val="20"/>
          <w:lang w:val="en-GB" w:eastAsia="zh-CN"/>
        </w:rPr>
        <w:t xml:space="preserve"> (containing </w:t>
      </w:r>
      <w:proofErr w:type="spellStart"/>
      <w:r w:rsidRPr="004717E0">
        <w:rPr>
          <w:rFonts w:ascii="Arial" w:hAnsi="Arial" w:cs="Arial"/>
          <w:b/>
          <w:bCs/>
          <w:szCs w:val="20"/>
          <w:lang w:val="en-GB" w:eastAsia="zh-CN"/>
        </w:rPr>
        <w:t>RRCReconfigurationWithSYNC</w:t>
      </w:r>
      <w:proofErr w:type="spellEnd"/>
      <w:r w:rsidRPr="004717E0">
        <w:rPr>
          <w:rFonts w:ascii="Arial" w:hAnsi="Arial" w:cs="Arial"/>
          <w:b/>
          <w:bCs/>
          <w:szCs w:val="20"/>
          <w:lang w:val="en-GB" w:eastAsia="zh-CN"/>
        </w:rPr>
        <w:t xml:space="preserve"> for SCG), and other RRC complete messages. Clear after 48 hours if not retrieved by the network. </w:t>
      </w:r>
    </w:p>
    <w:p w14:paraId="51B32F8B" w14:textId="77777777" w:rsidR="002B0F80" w:rsidRPr="004717E0" w:rsidRDefault="002B0F80" w:rsidP="002B0F80">
      <w:pPr>
        <w:pStyle w:val="ListParagraph"/>
        <w:numPr>
          <w:ilvl w:val="0"/>
          <w:numId w:val="32"/>
        </w:numPr>
        <w:rPr>
          <w:rFonts w:ascii="Arial" w:hAnsi="Arial" w:cs="Arial"/>
          <w:b/>
          <w:bCs/>
          <w:szCs w:val="20"/>
          <w:lang w:val="en-GB" w:eastAsia="zh-CN"/>
        </w:rPr>
      </w:pPr>
      <w:r w:rsidRPr="004717E0">
        <w:rPr>
          <w:rFonts w:ascii="Arial" w:hAnsi="Arial" w:cs="Arial"/>
          <w:b/>
          <w:bCs/>
          <w:szCs w:val="20"/>
          <w:lang w:val="en-GB" w:eastAsia="zh-CN"/>
        </w:rPr>
        <w:t>C</w:t>
      </w:r>
      <w:r w:rsidRPr="004717E0">
        <w:rPr>
          <w:rFonts w:ascii="Arial" w:hAnsi="Arial" w:cs="Arial"/>
          <w:b/>
          <w:bCs/>
          <w:sz w:val="22"/>
          <w:szCs w:val="22"/>
          <w:lang w:val="en-GB" w:eastAsia="zh-CN"/>
        </w:rPr>
        <w:t xml:space="preserve">lear upon PCell change: </w:t>
      </w:r>
      <w:r w:rsidRPr="004717E0">
        <w:rPr>
          <w:rFonts w:ascii="Arial" w:hAnsi="Arial" w:cs="Arial"/>
          <w:b/>
          <w:bCs/>
          <w:szCs w:val="20"/>
          <w:lang w:val="en-GB" w:eastAsia="zh-CN"/>
        </w:rPr>
        <w:t xml:space="preserve">UE generates the PSCell change report when configured trigger condition meets. Send the availability indicator in </w:t>
      </w:r>
      <w:proofErr w:type="spellStart"/>
      <w:r w:rsidRPr="004717E0">
        <w:rPr>
          <w:rFonts w:ascii="Arial" w:hAnsi="Arial" w:cs="Arial"/>
          <w:b/>
          <w:bCs/>
          <w:szCs w:val="20"/>
          <w:lang w:val="en-GB" w:eastAsia="zh-CN"/>
        </w:rPr>
        <w:t>RRCReconfigurationComplete</w:t>
      </w:r>
      <w:proofErr w:type="spellEnd"/>
      <w:r w:rsidRPr="004717E0">
        <w:rPr>
          <w:rFonts w:ascii="Arial" w:hAnsi="Arial" w:cs="Arial"/>
          <w:b/>
          <w:bCs/>
          <w:szCs w:val="20"/>
          <w:lang w:val="en-GB" w:eastAsia="zh-CN"/>
        </w:rPr>
        <w:t xml:space="preserve"> (containing </w:t>
      </w:r>
      <w:proofErr w:type="spellStart"/>
      <w:r w:rsidRPr="004717E0">
        <w:rPr>
          <w:rFonts w:ascii="Arial" w:hAnsi="Arial" w:cs="Arial"/>
          <w:b/>
          <w:bCs/>
          <w:szCs w:val="20"/>
          <w:lang w:val="en-GB" w:eastAsia="zh-CN"/>
        </w:rPr>
        <w:t>RRCReconfigurationWithSYNC</w:t>
      </w:r>
      <w:proofErr w:type="spellEnd"/>
      <w:r w:rsidRPr="004717E0">
        <w:rPr>
          <w:rFonts w:ascii="Arial" w:hAnsi="Arial" w:cs="Arial"/>
          <w:b/>
          <w:bCs/>
          <w:szCs w:val="20"/>
          <w:lang w:val="en-GB" w:eastAsia="zh-CN"/>
        </w:rPr>
        <w:t xml:space="preserve"> for SCG) messages. Clear after UE changes PCell. </w:t>
      </w:r>
    </w:p>
    <w:p w14:paraId="601149B9" w14:textId="0FEFBE29" w:rsidR="00DC48D6" w:rsidRPr="004717E0" w:rsidRDefault="00DC48D6" w:rsidP="00143B64">
      <w:pPr>
        <w:rPr>
          <w:rFonts w:ascii="Arial" w:hAnsi="Arial" w:cs="Arial"/>
          <w:szCs w:val="20"/>
          <w:lang w:val="en-GB" w:eastAsia="zh-CN"/>
        </w:rPr>
      </w:pPr>
    </w:p>
    <w:p w14:paraId="7B5EF31F" w14:textId="37972AF5" w:rsidR="008068BC" w:rsidRPr="004717E0" w:rsidRDefault="008068BC" w:rsidP="00143B64">
      <w:pPr>
        <w:rPr>
          <w:rFonts w:ascii="Arial" w:hAnsi="Arial" w:cs="Arial"/>
          <w:szCs w:val="20"/>
          <w:lang w:val="en-GB" w:eastAsia="zh-CN"/>
        </w:rPr>
      </w:pPr>
      <w:r w:rsidRPr="004717E0">
        <w:rPr>
          <w:rFonts w:ascii="Arial" w:hAnsi="Arial" w:cs="Arial"/>
          <w:szCs w:val="20"/>
          <w:lang w:val="en-GB" w:eastAsia="zh-CN"/>
        </w:rPr>
        <w:t>Note that there can be multiple PSCell change</w:t>
      </w:r>
      <w:r w:rsidR="00AE7A9E" w:rsidRPr="004717E0">
        <w:rPr>
          <w:rFonts w:ascii="Arial" w:hAnsi="Arial" w:cs="Arial"/>
          <w:szCs w:val="20"/>
          <w:lang w:val="en-GB" w:eastAsia="zh-CN"/>
        </w:rPr>
        <w:t>/addition</w:t>
      </w:r>
      <w:r w:rsidRPr="004717E0">
        <w:rPr>
          <w:rFonts w:ascii="Arial" w:hAnsi="Arial" w:cs="Arial"/>
          <w:szCs w:val="20"/>
          <w:lang w:val="en-GB" w:eastAsia="zh-CN"/>
        </w:rPr>
        <w:t xml:space="preserve"> procedures when UE is connected to </w:t>
      </w:r>
      <w:r w:rsidR="001E3504" w:rsidRPr="004717E0">
        <w:rPr>
          <w:rFonts w:ascii="Arial" w:hAnsi="Arial" w:cs="Arial"/>
          <w:szCs w:val="20"/>
          <w:lang w:val="en-GB" w:eastAsia="zh-CN"/>
        </w:rPr>
        <w:t xml:space="preserve">the </w:t>
      </w:r>
      <w:r w:rsidRPr="004717E0">
        <w:rPr>
          <w:rFonts w:ascii="Arial" w:hAnsi="Arial" w:cs="Arial"/>
          <w:szCs w:val="20"/>
          <w:lang w:val="en-GB" w:eastAsia="zh-CN"/>
        </w:rPr>
        <w:t xml:space="preserve">same </w:t>
      </w:r>
      <w:r w:rsidR="00AE7A9E" w:rsidRPr="004717E0">
        <w:rPr>
          <w:rFonts w:ascii="Arial" w:hAnsi="Arial" w:cs="Arial"/>
          <w:szCs w:val="20"/>
          <w:lang w:val="en-GB" w:eastAsia="zh-CN"/>
        </w:rPr>
        <w:t>PCell. During these PSCell change</w:t>
      </w:r>
      <w:r w:rsidR="001E3504" w:rsidRPr="004717E0">
        <w:rPr>
          <w:rFonts w:ascii="Arial" w:hAnsi="Arial" w:cs="Arial"/>
          <w:szCs w:val="20"/>
          <w:lang w:val="en-GB" w:eastAsia="zh-CN"/>
        </w:rPr>
        <w:t>s</w:t>
      </w:r>
      <w:r w:rsidR="00AE7A9E" w:rsidRPr="004717E0">
        <w:rPr>
          <w:rFonts w:ascii="Arial" w:hAnsi="Arial" w:cs="Arial"/>
          <w:szCs w:val="20"/>
          <w:lang w:val="en-GB" w:eastAsia="zh-CN"/>
        </w:rPr>
        <w:t>, UE may frequently overwrit</w:t>
      </w:r>
      <w:r w:rsidR="001E3504" w:rsidRPr="004717E0">
        <w:rPr>
          <w:rFonts w:ascii="Arial" w:hAnsi="Arial" w:cs="Arial"/>
          <w:szCs w:val="20"/>
          <w:lang w:val="en-GB" w:eastAsia="zh-CN"/>
        </w:rPr>
        <w:t>e</w:t>
      </w:r>
      <w:r w:rsidR="00AE7A9E" w:rsidRPr="004717E0">
        <w:rPr>
          <w:rFonts w:ascii="Arial" w:hAnsi="Arial" w:cs="Arial"/>
          <w:szCs w:val="20"/>
          <w:lang w:val="en-GB" w:eastAsia="zh-CN"/>
        </w:rPr>
        <w:t xml:space="preserve"> the </w:t>
      </w:r>
      <w:r w:rsidR="00217BD1" w:rsidRPr="004717E0">
        <w:rPr>
          <w:rFonts w:ascii="Arial" w:hAnsi="Arial" w:cs="Arial"/>
          <w:szCs w:val="20"/>
          <w:lang w:val="en-GB" w:eastAsia="zh-CN"/>
        </w:rPr>
        <w:t xml:space="preserve">SPCR. Furthermore, note that the SPCR may have relevance for both MN and SN, as MN and SN may want to optimize </w:t>
      </w:r>
      <w:r w:rsidR="001D751B" w:rsidRPr="004717E0">
        <w:rPr>
          <w:rFonts w:ascii="Arial" w:hAnsi="Arial" w:cs="Arial"/>
          <w:szCs w:val="20"/>
          <w:lang w:val="en-GB" w:eastAsia="zh-CN"/>
        </w:rPr>
        <w:t>relevant configurations, therefore storing the SPCR becomes useless. Therefore</w:t>
      </w:r>
      <w:r w:rsidR="009C3E87" w:rsidRPr="004717E0">
        <w:rPr>
          <w:rFonts w:ascii="Arial" w:hAnsi="Arial" w:cs="Arial"/>
          <w:szCs w:val="20"/>
          <w:lang w:val="en-GB" w:eastAsia="zh-CN"/>
        </w:rPr>
        <w:t xml:space="preserve">, UE </w:t>
      </w:r>
      <w:r w:rsidR="005C7D5A" w:rsidRPr="004717E0">
        <w:rPr>
          <w:rFonts w:ascii="Arial" w:hAnsi="Arial" w:cs="Arial"/>
          <w:szCs w:val="20"/>
          <w:lang w:val="en-GB" w:eastAsia="zh-CN"/>
        </w:rPr>
        <w:t>should</w:t>
      </w:r>
      <w:r w:rsidR="009C3E87" w:rsidRPr="004717E0">
        <w:rPr>
          <w:rFonts w:ascii="Arial" w:hAnsi="Arial" w:cs="Arial"/>
          <w:szCs w:val="20"/>
          <w:lang w:val="en-GB" w:eastAsia="zh-CN"/>
        </w:rPr>
        <w:t xml:space="preserve"> clear SPCR </w:t>
      </w:r>
      <w:r w:rsidR="005C7D5A" w:rsidRPr="004717E0">
        <w:rPr>
          <w:rFonts w:ascii="Arial" w:hAnsi="Arial" w:cs="Arial"/>
          <w:szCs w:val="20"/>
          <w:lang w:val="en-GB" w:eastAsia="zh-CN"/>
        </w:rPr>
        <w:t xml:space="preserve">upon PCell change. </w:t>
      </w:r>
    </w:p>
    <w:p w14:paraId="2FACB6DB" w14:textId="77777777" w:rsidR="008068BC" w:rsidRPr="004717E0" w:rsidRDefault="008068BC" w:rsidP="00143B64">
      <w:pPr>
        <w:rPr>
          <w:rFonts w:ascii="Arial" w:hAnsi="Arial" w:cs="Arial"/>
          <w:szCs w:val="20"/>
          <w:lang w:val="en-GB" w:eastAsia="zh-CN"/>
        </w:rPr>
      </w:pPr>
    </w:p>
    <w:p w14:paraId="3234BC6E" w14:textId="4657D8A8" w:rsidR="00E2134F" w:rsidRDefault="003B4CCC" w:rsidP="00143B64">
      <w:pPr>
        <w:rPr>
          <w:rFonts w:ascii="Arial" w:hAnsi="Arial" w:cs="Arial"/>
          <w:b/>
          <w:bCs/>
          <w:szCs w:val="20"/>
          <w:lang w:val="en-GB" w:eastAsia="zh-CN"/>
        </w:rPr>
      </w:pPr>
      <w:r w:rsidRPr="004717E0">
        <w:rPr>
          <w:rFonts w:ascii="Arial" w:hAnsi="Arial" w:cs="Arial"/>
          <w:b/>
          <w:bCs/>
          <w:szCs w:val="20"/>
          <w:lang w:val="en-GB" w:eastAsia="zh-CN"/>
        </w:rPr>
        <w:t xml:space="preserve">Observation </w:t>
      </w:r>
      <w:r w:rsidR="00FC0347">
        <w:rPr>
          <w:rFonts w:ascii="Arial" w:hAnsi="Arial" w:cs="Arial"/>
          <w:b/>
          <w:bCs/>
          <w:szCs w:val="20"/>
          <w:lang w:val="en-GB" w:eastAsia="zh-CN"/>
        </w:rPr>
        <w:t>5</w:t>
      </w:r>
      <w:r w:rsidRPr="004717E0">
        <w:rPr>
          <w:rFonts w:ascii="Arial" w:hAnsi="Arial" w:cs="Arial"/>
          <w:b/>
          <w:bCs/>
          <w:szCs w:val="20"/>
          <w:lang w:val="en-GB" w:eastAsia="zh-CN"/>
        </w:rPr>
        <w:t xml:space="preserve">: </w:t>
      </w:r>
      <w:r w:rsidR="005C7D5A" w:rsidRPr="004717E0">
        <w:rPr>
          <w:rFonts w:ascii="Arial" w:hAnsi="Arial" w:cs="Arial"/>
          <w:b/>
          <w:bCs/>
          <w:szCs w:val="20"/>
          <w:lang w:val="en-GB" w:eastAsia="zh-CN"/>
        </w:rPr>
        <w:t xml:space="preserve">There can be multiple PSCell change/addition procedures when UE is connected to </w:t>
      </w:r>
      <w:r w:rsidR="001E3504" w:rsidRPr="004717E0">
        <w:rPr>
          <w:rFonts w:ascii="Arial" w:hAnsi="Arial" w:cs="Arial"/>
          <w:b/>
          <w:bCs/>
          <w:szCs w:val="20"/>
          <w:lang w:val="en-GB" w:eastAsia="zh-CN"/>
        </w:rPr>
        <w:t xml:space="preserve">the </w:t>
      </w:r>
      <w:r w:rsidR="005C7D5A" w:rsidRPr="004717E0">
        <w:rPr>
          <w:rFonts w:ascii="Arial" w:hAnsi="Arial" w:cs="Arial"/>
          <w:b/>
          <w:bCs/>
          <w:szCs w:val="20"/>
          <w:lang w:val="en-GB" w:eastAsia="zh-CN"/>
        </w:rPr>
        <w:t>same PCell.</w:t>
      </w:r>
      <w:r w:rsidR="00C61637">
        <w:rPr>
          <w:rFonts w:ascii="Arial" w:hAnsi="Arial" w:cs="Arial"/>
          <w:b/>
          <w:bCs/>
          <w:szCs w:val="20"/>
          <w:lang w:val="en-GB" w:eastAsia="zh-CN"/>
        </w:rPr>
        <w:t xml:space="preserve"> </w:t>
      </w:r>
    </w:p>
    <w:p w14:paraId="69B41489" w14:textId="77777777" w:rsidR="00E2134F" w:rsidRDefault="00E2134F" w:rsidP="00143B64">
      <w:pPr>
        <w:rPr>
          <w:rFonts w:ascii="Arial" w:hAnsi="Arial" w:cs="Arial"/>
          <w:b/>
          <w:bCs/>
          <w:szCs w:val="20"/>
          <w:lang w:val="en-GB" w:eastAsia="zh-CN"/>
        </w:rPr>
      </w:pPr>
    </w:p>
    <w:p w14:paraId="2EDC9801" w14:textId="5BABF32A" w:rsidR="003B4CCC" w:rsidRPr="004717E0" w:rsidRDefault="00E2134F" w:rsidP="00143B64">
      <w:pPr>
        <w:rPr>
          <w:rFonts w:ascii="Arial" w:hAnsi="Arial" w:cs="Arial"/>
          <w:b/>
          <w:bCs/>
          <w:szCs w:val="20"/>
          <w:lang w:val="en-GB" w:eastAsia="zh-CN"/>
        </w:rPr>
      </w:pPr>
      <w:r>
        <w:rPr>
          <w:rFonts w:ascii="Arial" w:hAnsi="Arial" w:cs="Arial"/>
          <w:b/>
          <w:bCs/>
          <w:szCs w:val="20"/>
          <w:lang w:val="en-GB" w:eastAsia="zh-CN"/>
        </w:rPr>
        <w:t xml:space="preserve">Observation </w:t>
      </w:r>
      <w:r w:rsidR="00FC0347">
        <w:rPr>
          <w:rFonts w:ascii="Arial" w:hAnsi="Arial" w:cs="Arial"/>
          <w:b/>
          <w:bCs/>
          <w:szCs w:val="20"/>
          <w:lang w:val="en-GB" w:eastAsia="zh-CN"/>
        </w:rPr>
        <w:t>6</w:t>
      </w:r>
      <w:r>
        <w:rPr>
          <w:rFonts w:ascii="Arial" w:hAnsi="Arial" w:cs="Arial"/>
          <w:b/>
          <w:bCs/>
          <w:szCs w:val="20"/>
          <w:lang w:val="en-GB" w:eastAsia="zh-CN"/>
        </w:rPr>
        <w:t>: As</w:t>
      </w:r>
      <w:r w:rsidR="00C61637">
        <w:rPr>
          <w:rFonts w:ascii="Arial" w:hAnsi="Arial" w:cs="Arial"/>
          <w:b/>
          <w:bCs/>
          <w:szCs w:val="20"/>
          <w:lang w:val="en-GB" w:eastAsia="zh-CN"/>
        </w:rPr>
        <w:t xml:space="preserve"> SPR can be frequently overwritten</w:t>
      </w:r>
      <w:r>
        <w:rPr>
          <w:rFonts w:ascii="Arial" w:hAnsi="Arial" w:cs="Arial"/>
          <w:b/>
          <w:bCs/>
          <w:szCs w:val="20"/>
          <w:lang w:val="en-GB" w:eastAsia="zh-CN"/>
        </w:rPr>
        <w:t xml:space="preserve">, therefore, there </w:t>
      </w:r>
      <w:r w:rsidR="007B4B1E">
        <w:rPr>
          <w:rFonts w:ascii="Arial" w:hAnsi="Arial" w:cs="Arial"/>
          <w:b/>
          <w:bCs/>
          <w:szCs w:val="20"/>
          <w:lang w:val="en-GB" w:eastAsia="zh-CN"/>
        </w:rPr>
        <w:t>is no need for storing the PSCell report for a longer duration (i.e., for 48 hours) at the UE.</w:t>
      </w:r>
    </w:p>
    <w:p w14:paraId="449F0E36" w14:textId="24F0F8D9" w:rsidR="00EB4557" w:rsidRPr="004717E0" w:rsidRDefault="00EB4557" w:rsidP="00143B64">
      <w:pPr>
        <w:rPr>
          <w:rFonts w:ascii="Arial" w:hAnsi="Arial" w:cs="Arial"/>
          <w:b/>
          <w:bCs/>
          <w:szCs w:val="20"/>
          <w:lang w:val="en-GB" w:eastAsia="zh-CN"/>
        </w:rPr>
      </w:pPr>
    </w:p>
    <w:p w14:paraId="7195A4D5" w14:textId="108983AA" w:rsidR="00A046A3" w:rsidRPr="004717E0" w:rsidRDefault="0002560B" w:rsidP="00143B64">
      <w:pPr>
        <w:rPr>
          <w:rFonts w:ascii="Arial" w:hAnsi="Arial" w:cs="Arial"/>
          <w:b/>
          <w:bCs/>
          <w:szCs w:val="20"/>
          <w:lang w:val="en-GB" w:eastAsia="zh-CN"/>
        </w:rPr>
      </w:pPr>
      <w:r w:rsidRPr="004717E0">
        <w:rPr>
          <w:rFonts w:ascii="Arial" w:hAnsi="Arial" w:cs="Arial"/>
          <w:b/>
          <w:bCs/>
          <w:szCs w:val="20"/>
          <w:lang w:val="en-GB" w:eastAsia="zh-CN"/>
        </w:rPr>
        <w:t xml:space="preserve">Proposal </w:t>
      </w:r>
      <w:r w:rsidR="00C61637">
        <w:rPr>
          <w:rFonts w:ascii="Arial" w:hAnsi="Arial" w:cs="Arial"/>
          <w:b/>
          <w:bCs/>
          <w:szCs w:val="20"/>
          <w:lang w:val="en-GB" w:eastAsia="zh-CN"/>
        </w:rPr>
        <w:t>9</w:t>
      </w:r>
      <w:r w:rsidR="002C77D2" w:rsidRPr="004717E0">
        <w:rPr>
          <w:rFonts w:ascii="Arial" w:hAnsi="Arial" w:cs="Arial"/>
          <w:b/>
          <w:bCs/>
          <w:szCs w:val="20"/>
          <w:lang w:val="en-GB" w:eastAsia="zh-CN"/>
        </w:rPr>
        <w:t>:</w:t>
      </w:r>
      <w:r w:rsidR="00D06A70" w:rsidRPr="004717E0">
        <w:rPr>
          <w:rFonts w:ascii="Arial" w:hAnsi="Arial" w:cs="Arial"/>
          <w:b/>
          <w:bCs/>
          <w:szCs w:val="20"/>
          <w:lang w:val="en-GB" w:eastAsia="zh-CN"/>
        </w:rPr>
        <w:t xml:space="preserve"> </w:t>
      </w:r>
      <w:r w:rsidR="00EB4557" w:rsidRPr="004717E0">
        <w:rPr>
          <w:rFonts w:ascii="Arial" w:hAnsi="Arial" w:cs="Arial"/>
          <w:b/>
          <w:bCs/>
          <w:szCs w:val="20"/>
          <w:lang w:val="en-GB" w:eastAsia="zh-CN"/>
        </w:rPr>
        <w:t>UE can clear</w:t>
      </w:r>
      <w:r w:rsidR="00F40767" w:rsidRPr="004717E0">
        <w:rPr>
          <w:rFonts w:ascii="Arial" w:hAnsi="Arial" w:cs="Arial"/>
          <w:b/>
          <w:bCs/>
          <w:szCs w:val="20"/>
          <w:lang w:val="en-GB" w:eastAsia="zh-CN"/>
        </w:rPr>
        <w:t xml:space="preserve"> </w:t>
      </w:r>
      <w:r w:rsidR="00720966" w:rsidRPr="004717E0">
        <w:rPr>
          <w:rFonts w:ascii="Arial" w:hAnsi="Arial" w:cs="Arial"/>
          <w:b/>
          <w:bCs/>
          <w:szCs w:val="20"/>
          <w:lang w:val="en-GB" w:eastAsia="zh-CN"/>
        </w:rPr>
        <w:t xml:space="preserve">SPCR upon PCell change, i.e., UE generates the PSCell change report when configured trigger condition meets. Send the availability indicator in </w:t>
      </w:r>
      <w:proofErr w:type="spellStart"/>
      <w:r w:rsidR="00720966" w:rsidRPr="004717E0">
        <w:rPr>
          <w:rFonts w:ascii="Arial" w:hAnsi="Arial" w:cs="Arial"/>
          <w:b/>
          <w:bCs/>
          <w:szCs w:val="20"/>
          <w:lang w:val="en-GB" w:eastAsia="zh-CN"/>
        </w:rPr>
        <w:t>RRCReconfigurationComplete</w:t>
      </w:r>
      <w:proofErr w:type="spellEnd"/>
      <w:r w:rsidR="00720966" w:rsidRPr="004717E0">
        <w:rPr>
          <w:rFonts w:ascii="Arial" w:hAnsi="Arial" w:cs="Arial"/>
          <w:b/>
          <w:bCs/>
          <w:szCs w:val="20"/>
          <w:lang w:val="en-GB" w:eastAsia="zh-CN"/>
        </w:rPr>
        <w:t xml:space="preserve"> (containing </w:t>
      </w:r>
      <w:proofErr w:type="spellStart"/>
      <w:r w:rsidR="00720966" w:rsidRPr="004717E0">
        <w:rPr>
          <w:rFonts w:ascii="Arial" w:hAnsi="Arial" w:cs="Arial"/>
          <w:b/>
          <w:bCs/>
          <w:szCs w:val="20"/>
          <w:lang w:val="en-GB" w:eastAsia="zh-CN"/>
        </w:rPr>
        <w:t>RRCReconfigurationWithSYNC</w:t>
      </w:r>
      <w:proofErr w:type="spellEnd"/>
      <w:r w:rsidR="00720966" w:rsidRPr="004717E0">
        <w:rPr>
          <w:rFonts w:ascii="Arial" w:hAnsi="Arial" w:cs="Arial"/>
          <w:b/>
          <w:bCs/>
          <w:szCs w:val="20"/>
          <w:lang w:val="en-GB" w:eastAsia="zh-CN"/>
        </w:rPr>
        <w:t xml:space="preserve"> for SCG) messages. Clear after UE changes PCell.  </w:t>
      </w:r>
      <w:r w:rsidR="00E26B24" w:rsidRPr="004717E0">
        <w:rPr>
          <w:rFonts w:ascii="Arial" w:hAnsi="Arial" w:cs="Arial"/>
          <w:b/>
          <w:bCs/>
          <w:szCs w:val="20"/>
          <w:lang w:val="en-GB" w:eastAsia="zh-CN"/>
        </w:rPr>
        <w:t xml:space="preserve"> </w:t>
      </w:r>
      <w:r w:rsidR="00D06A70" w:rsidRPr="004717E0">
        <w:rPr>
          <w:rFonts w:ascii="Arial" w:hAnsi="Arial" w:cs="Arial"/>
          <w:b/>
          <w:bCs/>
          <w:szCs w:val="20"/>
          <w:lang w:val="en-GB" w:eastAsia="zh-CN"/>
        </w:rPr>
        <w:t xml:space="preserve"> </w:t>
      </w:r>
    </w:p>
    <w:p w14:paraId="4E9D33D7" w14:textId="0FD90D07" w:rsidR="00911ECB" w:rsidRPr="004717E0"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4717E0">
        <w:rPr>
          <w:b w:val="0"/>
          <w:bCs w:val="0"/>
          <w:kern w:val="0"/>
          <w:sz w:val="36"/>
          <w:szCs w:val="20"/>
          <w:lang w:val="fr-FR"/>
        </w:rPr>
        <w:t>Conclusion</w:t>
      </w:r>
      <w:r w:rsidR="008E17C4" w:rsidRPr="004717E0">
        <w:rPr>
          <w:b w:val="0"/>
          <w:bCs w:val="0"/>
          <w:kern w:val="0"/>
          <w:sz w:val="36"/>
          <w:szCs w:val="20"/>
          <w:lang w:val="fr-FR"/>
        </w:rPr>
        <w:t xml:space="preserve"> </w:t>
      </w:r>
    </w:p>
    <w:bookmarkEnd w:id="4"/>
    <w:bookmarkEnd w:id="5"/>
    <w:p w14:paraId="33C02018" w14:textId="77777777" w:rsidR="0039498F" w:rsidRPr="00D117F5" w:rsidRDefault="0039498F" w:rsidP="0039498F">
      <w:pPr>
        <w:pStyle w:val="paragraph"/>
        <w:textAlignment w:val="baseline"/>
        <w:rPr>
          <w:rFonts w:ascii="Arial" w:hAnsi="Arial" w:cs="Arial"/>
          <w:b/>
          <w:bCs/>
          <w:sz w:val="20"/>
          <w:szCs w:val="20"/>
          <w:lang w:val="en-GB"/>
        </w:rPr>
      </w:pPr>
      <w:r w:rsidRPr="00D117F5">
        <w:rPr>
          <w:rStyle w:val="normaltextrun"/>
          <w:rFonts w:ascii="Arial" w:hAnsi="Arial" w:cs="Arial"/>
          <w:b/>
          <w:bCs/>
          <w:sz w:val="20"/>
          <w:szCs w:val="20"/>
        </w:rPr>
        <w:t>Observation 1: In the RAN2#120-emeeting, RAN2 confirmed to only support T310 and T312 trigger conditions for inter-RAT SHR from NR to LTE.</w:t>
      </w:r>
      <w:r w:rsidRPr="00D117F5">
        <w:rPr>
          <w:rStyle w:val="eop"/>
          <w:rFonts w:ascii="Arial" w:hAnsi="Arial" w:cs="Arial"/>
          <w:b/>
          <w:bCs/>
          <w:sz w:val="20"/>
          <w:szCs w:val="20"/>
          <w:lang w:val="en-GB"/>
        </w:rPr>
        <w:t> </w:t>
      </w:r>
    </w:p>
    <w:p w14:paraId="6C9C06DE" w14:textId="77777777" w:rsidR="0039498F" w:rsidRPr="00D117F5" w:rsidRDefault="0039498F" w:rsidP="0039498F">
      <w:pPr>
        <w:pStyle w:val="paragraph"/>
        <w:textAlignment w:val="baseline"/>
        <w:rPr>
          <w:rFonts w:ascii="Arial" w:hAnsi="Arial" w:cs="Arial"/>
          <w:b/>
          <w:bCs/>
          <w:sz w:val="20"/>
          <w:szCs w:val="20"/>
          <w:lang w:val="en-GB"/>
        </w:rPr>
      </w:pPr>
      <w:r w:rsidRPr="00D117F5">
        <w:rPr>
          <w:rStyle w:val="normaltextrun"/>
          <w:rFonts w:ascii="Arial" w:hAnsi="Arial" w:cs="Arial"/>
          <w:b/>
          <w:bCs/>
          <w:sz w:val="20"/>
          <w:szCs w:val="20"/>
        </w:rPr>
        <w:t xml:space="preserve">Proposal 1: </w:t>
      </w:r>
      <w:proofErr w:type="gramStart"/>
      <w:r w:rsidRPr="00D117F5">
        <w:rPr>
          <w:rStyle w:val="normaltextrun"/>
          <w:rFonts w:ascii="Arial" w:hAnsi="Arial" w:cs="Arial"/>
          <w:b/>
          <w:bCs/>
          <w:sz w:val="20"/>
          <w:szCs w:val="20"/>
        </w:rPr>
        <w:t>Similar to</w:t>
      </w:r>
      <w:proofErr w:type="gramEnd"/>
      <w:r w:rsidRPr="00D117F5">
        <w:rPr>
          <w:rStyle w:val="normaltextrun"/>
          <w:rFonts w:ascii="Arial" w:hAnsi="Arial" w:cs="Arial"/>
          <w:b/>
          <w:bCs/>
          <w:sz w:val="20"/>
          <w:szCs w:val="20"/>
        </w:rPr>
        <w:t xml:space="preserve"> the rel-17 intra-NR SHR report, the T310 and T312 threshold is provided to the UE by source-MN in the </w:t>
      </w:r>
      <w:proofErr w:type="spellStart"/>
      <w:r w:rsidRPr="00D117F5">
        <w:rPr>
          <w:rStyle w:val="normaltextrun"/>
          <w:rFonts w:ascii="Arial" w:hAnsi="Arial" w:cs="Arial"/>
          <w:b/>
          <w:bCs/>
          <w:sz w:val="20"/>
          <w:szCs w:val="20"/>
        </w:rPr>
        <w:t>otherConfig</w:t>
      </w:r>
      <w:proofErr w:type="spellEnd"/>
      <w:r w:rsidRPr="00D117F5">
        <w:rPr>
          <w:rStyle w:val="normaltextrun"/>
          <w:rFonts w:ascii="Arial" w:hAnsi="Arial" w:cs="Arial"/>
          <w:b/>
          <w:bCs/>
          <w:sz w:val="20"/>
          <w:szCs w:val="20"/>
        </w:rPr>
        <w:t>.</w:t>
      </w:r>
      <w:r w:rsidRPr="00D117F5">
        <w:rPr>
          <w:rStyle w:val="eop"/>
          <w:rFonts w:ascii="Arial" w:hAnsi="Arial" w:cs="Arial"/>
          <w:b/>
          <w:bCs/>
          <w:sz w:val="20"/>
          <w:szCs w:val="20"/>
          <w:lang w:val="en-GB"/>
        </w:rPr>
        <w:t> </w:t>
      </w:r>
    </w:p>
    <w:p w14:paraId="38C05DCC" w14:textId="77777777" w:rsidR="0039498F" w:rsidRPr="00D117F5" w:rsidRDefault="0039498F" w:rsidP="0039498F">
      <w:pPr>
        <w:pStyle w:val="paragraph"/>
        <w:textAlignment w:val="baseline"/>
        <w:rPr>
          <w:rFonts w:ascii="Arial" w:hAnsi="Arial" w:cs="Arial"/>
          <w:b/>
          <w:bCs/>
          <w:sz w:val="20"/>
          <w:szCs w:val="20"/>
          <w:lang w:val="en-GB"/>
        </w:rPr>
      </w:pPr>
      <w:r w:rsidRPr="00D117F5">
        <w:rPr>
          <w:rStyle w:val="normaltextrun"/>
          <w:rFonts w:ascii="Arial" w:hAnsi="Arial" w:cs="Arial"/>
          <w:b/>
          <w:bCs/>
          <w:sz w:val="20"/>
          <w:szCs w:val="20"/>
        </w:rPr>
        <w:t xml:space="preserve">Proposal 2: T310 and T312 thresholds are configured as the percentage of the timer value, </w:t>
      </w:r>
      <w:proofErr w:type="gramStart"/>
      <w:r w:rsidRPr="00D117F5">
        <w:rPr>
          <w:rStyle w:val="normaltextrun"/>
          <w:rFonts w:ascii="Arial" w:hAnsi="Arial" w:cs="Arial"/>
          <w:b/>
          <w:bCs/>
          <w:sz w:val="20"/>
          <w:szCs w:val="20"/>
        </w:rPr>
        <w:t>similar to</w:t>
      </w:r>
      <w:proofErr w:type="gramEnd"/>
      <w:r w:rsidRPr="00D117F5">
        <w:rPr>
          <w:rStyle w:val="normaltextrun"/>
          <w:rFonts w:ascii="Arial" w:hAnsi="Arial" w:cs="Arial"/>
          <w:b/>
          <w:bCs/>
          <w:sz w:val="20"/>
          <w:szCs w:val="20"/>
        </w:rPr>
        <w:t xml:space="preserve"> the threshold configured for intra-NR SHR.</w:t>
      </w:r>
      <w:r w:rsidRPr="00D117F5">
        <w:rPr>
          <w:rStyle w:val="eop"/>
          <w:rFonts w:ascii="Arial" w:hAnsi="Arial" w:cs="Arial"/>
          <w:b/>
          <w:bCs/>
          <w:sz w:val="20"/>
          <w:szCs w:val="20"/>
          <w:lang w:val="en-GB"/>
        </w:rPr>
        <w:t> </w:t>
      </w:r>
    </w:p>
    <w:p w14:paraId="46DB2B5C" w14:textId="77777777" w:rsidR="0039498F" w:rsidRPr="00D117F5" w:rsidRDefault="0039498F" w:rsidP="0039498F">
      <w:pPr>
        <w:pStyle w:val="paragraph"/>
        <w:textAlignment w:val="baseline"/>
        <w:rPr>
          <w:rStyle w:val="normaltextrun"/>
          <w:rFonts w:ascii="Arial" w:hAnsi="Arial" w:cs="Arial"/>
          <w:b/>
          <w:bCs/>
          <w:sz w:val="20"/>
          <w:szCs w:val="20"/>
        </w:rPr>
      </w:pPr>
      <w:r w:rsidRPr="00D117F5">
        <w:rPr>
          <w:rStyle w:val="normaltextrun"/>
          <w:rFonts w:ascii="Arial" w:hAnsi="Arial" w:cs="Arial"/>
          <w:b/>
          <w:bCs/>
          <w:sz w:val="20"/>
          <w:szCs w:val="20"/>
        </w:rPr>
        <w:t xml:space="preserve">Proposal 3: There is no need for cross-RAT reporting of inter-RAT SHR, i.e., UE reports the SHR report to the network when it comes back to NR. </w:t>
      </w:r>
    </w:p>
    <w:p w14:paraId="611B3080" w14:textId="77777777" w:rsidR="0039498F" w:rsidRPr="00D117F5" w:rsidRDefault="0039498F" w:rsidP="0039498F">
      <w:pPr>
        <w:pStyle w:val="paragraph"/>
        <w:textAlignment w:val="baseline"/>
        <w:rPr>
          <w:rStyle w:val="normaltextrun"/>
          <w:rFonts w:ascii="Arial" w:hAnsi="Arial" w:cs="Arial"/>
          <w:sz w:val="20"/>
          <w:szCs w:val="20"/>
        </w:rPr>
      </w:pPr>
      <w:r w:rsidRPr="00D117F5">
        <w:rPr>
          <w:rStyle w:val="normaltextrun"/>
          <w:rFonts w:ascii="Arial" w:hAnsi="Arial" w:cs="Arial"/>
          <w:sz w:val="20"/>
          <w:szCs w:val="20"/>
        </w:rPr>
        <w:t>In the RAN3#110 meeting, RAN3 further agreed that the inter-RAT SHR from LTE to NR can be supported (at least for T304-related triggers) if there are no impacts to LTE.</w:t>
      </w:r>
    </w:p>
    <w:p w14:paraId="6B2094A9" w14:textId="77777777" w:rsidR="0039498F" w:rsidRPr="00D117F5" w:rsidRDefault="0039498F" w:rsidP="0039498F">
      <w:pPr>
        <w:pStyle w:val="paragraph"/>
        <w:textAlignment w:val="baseline"/>
        <w:rPr>
          <w:rStyle w:val="normaltextrun"/>
          <w:rFonts w:ascii="Arial" w:hAnsi="Arial" w:cs="Arial"/>
          <w:b/>
          <w:bCs/>
          <w:sz w:val="20"/>
          <w:szCs w:val="20"/>
        </w:rPr>
      </w:pPr>
      <w:r w:rsidRPr="00D117F5">
        <w:rPr>
          <w:rStyle w:val="normaltextrun"/>
          <w:rFonts w:ascii="Arial" w:hAnsi="Arial" w:cs="Arial"/>
          <w:b/>
          <w:bCs/>
          <w:sz w:val="20"/>
          <w:szCs w:val="20"/>
        </w:rPr>
        <w:t xml:space="preserve">Proposal 4: To support inter-RAT SHR from LTE to NR without having an LTE specification impact, RAN2 only supports the T304 threshold.  </w:t>
      </w:r>
    </w:p>
    <w:p w14:paraId="5BF40264" w14:textId="77777777" w:rsidR="0039498F" w:rsidRPr="00D117F5" w:rsidRDefault="0039498F" w:rsidP="0039498F">
      <w:pPr>
        <w:pStyle w:val="paragraph"/>
        <w:textAlignment w:val="baseline"/>
        <w:rPr>
          <w:rStyle w:val="normaltextrun"/>
          <w:rFonts w:ascii="Arial" w:hAnsi="Arial" w:cs="Arial"/>
          <w:b/>
          <w:bCs/>
          <w:sz w:val="20"/>
          <w:szCs w:val="20"/>
        </w:rPr>
      </w:pPr>
      <w:r w:rsidRPr="00D117F5">
        <w:rPr>
          <w:rStyle w:val="normaltextrun"/>
          <w:rFonts w:ascii="Arial" w:hAnsi="Arial" w:cs="Arial"/>
          <w:b/>
          <w:bCs/>
          <w:sz w:val="20"/>
          <w:szCs w:val="20"/>
        </w:rPr>
        <w:t xml:space="preserve">Proposal 5: </w:t>
      </w:r>
      <w:proofErr w:type="gramStart"/>
      <w:r w:rsidRPr="00D117F5">
        <w:rPr>
          <w:rStyle w:val="normaltextrun"/>
          <w:rFonts w:ascii="Arial" w:hAnsi="Arial" w:cs="Arial"/>
          <w:b/>
          <w:bCs/>
          <w:sz w:val="20"/>
          <w:szCs w:val="20"/>
        </w:rPr>
        <w:t>Similar to</w:t>
      </w:r>
      <w:proofErr w:type="gramEnd"/>
      <w:r w:rsidRPr="00D117F5">
        <w:rPr>
          <w:rStyle w:val="normaltextrun"/>
          <w:rFonts w:ascii="Arial" w:hAnsi="Arial" w:cs="Arial"/>
          <w:b/>
          <w:bCs/>
          <w:sz w:val="20"/>
          <w:szCs w:val="20"/>
        </w:rPr>
        <w:t xml:space="preserve"> intra-NR SHR, the T304 threshold is provided by the target cell. </w:t>
      </w:r>
    </w:p>
    <w:p w14:paraId="3B0C9EDB" w14:textId="77777777" w:rsidR="0039498F" w:rsidRPr="00D117F5" w:rsidRDefault="0039498F" w:rsidP="0039498F">
      <w:pPr>
        <w:pStyle w:val="paragraph"/>
        <w:textAlignment w:val="baseline"/>
        <w:rPr>
          <w:rFonts w:ascii="Arial" w:hAnsi="Arial" w:cs="Arial"/>
          <w:b/>
          <w:bCs/>
          <w:sz w:val="20"/>
          <w:szCs w:val="20"/>
          <w:lang w:val="en-GB"/>
        </w:rPr>
      </w:pPr>
      <w:r w:rsidRPr="00D117F5">
        <w:rPr>
          <w:rStyle w:val="normaltextrun"/>
          <w:rFonts w:ascii="Arial" w:hAnsi="Arial" w:cs="Arial"/>
          <w:b/>
          <w:bCs/>
          <w:sz w:val="20"/>
          <w:szCs w:val="20"/>
        </w:rPr>
        <w:t xml:space="preserve">Proposal 6: NR SHR is generated when the T304 trigger condition meets during inter-RAT mobility from LTE to NR. </w:t>
      </w:r>
    </w:p>
    <w:p w14:paraId="52644730" w14:textId="77777777" w:rsidR="0039498F" w:rsidRPr="00D117F5" w:rsidRDefault="0039498F" w:rsidP="0039498F">
      <w:pPr>
        <w:rPr>
          <w:rFonts w:ascii="Arial" w:hAnsi="Arial" w:cs="Arial"/>
          <w:b/>
          <w:bCs/>
          <w:color w:val="000000" w:themeColor="text1"/>
          <w:szCs w:val="20"/>
          <w:lang w:eastAsia="zh-CN"/>
        </w:rPr>
      </w:pPr>
      <w:r w:rsidRPr="00D117F5">
        <w:rPr>
          <w:rFonts w:ascii="Arial" w:hAnsi="Arial" w:cs="Arial"/>
          <w:b/>
          <w:bCs/>
          <w:color w:val="000000" w:themeColor="text1"/>
          <w:szCs w:val="20"/>
          <w:lang w:val="en-GB" w:eastAsia="zh-CN"/>
        </w:rPr>
        <w:lastRenderedPageBreak/>
        <w:t xml:space="preserve">Observation 2: </w:t>
      </w:r>
      <w:r w:rsidRPr="00D117F5">
        <w:rPr>
          <w:rFonts w:ascii="Arial" w:hAnsi="Arial" w:cs="Arial"/>
          <w:b/>
          <w:bCs/>
          <w:szCs w:val="20"/>
          <w:lang w:val="en-GB" w:eastAsia="zh-CN"/>
        </w:rPr>
        <w:t>In the RAN3#118 meeting [4], RAN3 agreed that f</w:t>
      </w:r>
      <w:r w:rsidRPr="00D117F5">
        <w:rPr>
          <w:rFonts w:ascii="Arial" w:hAnsi="Arial" w:cs="Arial"/>
          <w:b/>
          <w:bCs/>
          <w:color w:val="000000" w:themeColor="text1"/>
          <w:szCs w:val="20"/>
          <w:lang w:eastAsia="zh-CN"/>
        </w:rPr>
        <w:t xml:space="preserve">or SN-initiated classic </w:t>
      </w:r>
      <w:proofErr w:type="spellStart"/>
      <w:r w:rsidRPr="00D117F5">
        <w:rPr>
          <w:rFonts w:ascii="Arial" w:hAnsi="Arial" w:cs="Arial"/>
          <w:b/>
          <w:bCs/>
          <w:color w:val="000000" w:themeColor="text1"/>
          <w:szCs w:val="20"/>
          <w:lang w:eastAsia="zh-CN"/>
        </w:rPr>
        <w:t>PScell</w:t>
      </w:r>
      <w:proofErr w:type="spellEnd"/>
      <w:r w:rsidRPr="00D117F5">
        <w:rPr>
          <w:rFonts w:ascii="Arial" w:hAnsi="Arial" w:cs="Arial"/>
          <w:b/>
          <w:bCs/>
          <w:color w:val="000000" w:themeColor="text1"/>
          <w:szCs w:val="20"/>
          <w:lang w:eastAsia="zh-CN"/>
        </w:rPr>
        <w:t xml:space="preserve"> change the source SN node decides the T310/T312 triggers (</w:t>
      </w:r>
      <w:proofErr w:type="spellStart"/>
      <w:r w:rsidRPr="00D117F5">
        <w:rPr>
          <w:rFonts w:ascii="Arial" w:hAnsi="Arial" w:cs="Arial"/>
          <w:b/>
          <w:bCs/>
          <w:color w:val="000000" w:themeColor="text1"/>
          <w:szCs w:val="20"/>
          <w:lang w:eastAsia="zh-CN"/>
        </w:rPr>
        <w:t>e.g</w:t>
      </w:r>
      <w:proofErr w:type="spellEnd"/>
      <w:r w:rsidRPr="00D117F5">
        <w:rPr>
          <w:rFonts w:ascii="Arial" w:hAnsi="Arial" w:cs="Arial"/>
          <w:b/>
          <w:bCs/>
          <w:color w:val="000000" w:themeColor="text1"/>
          <w:szCs w:val="20"/>
          <w:lang w:eastAsia="zh-CN"/>
        </w:rPr>
        <w:t xml:space="preserve"> timer threshold) and the target SN node decides the T304 triggers (</w:t>
      </w:r>
      <w:proofErr w:type="spellStart"/>
      <w:r w:rsidRPr="00D117F5">
        <w:rPr>
          <w:rFonts w:ascii="Arial" w:hAnsi="Arial" w:cs="Arial"/>
          <w:b/>
          <w:bCs/>
          <w:color w:val="000000" w:themeColor="text1"/>
          <w:szCs w:val="20"/>
          <w:lang w:eastAsia="zh-CN"/>
        </w:rPr>
        <w:t>e.g</w:t>
      </w:r>
      <w:proofErr w:type="spellEnd"/>
      <w:r w:rsidRPr="00D117F5">
        <w:rPr>
          <w:rFonts w:ascii="Arial" w:hAnsi="Arial" w:cs="Arial"/>
          <w:b/>
          <w:bCs/>
          <w:color w:val="000000" w:themeColor="text1"/>
          <w:szCs w:val="20"/>
          <w:lang w:eastAsia="zh-CN"/>
        </w:rPr>
        <w:t xml:space="preserve"> timer threshold).</w:t>
      </w:r>
    </w:p>
    <w:p w14:paraId="6C0BDE4B" w14:textId="77777777" w:rsidR="0039498F" w:rsidRPr="00D117F5" w:rsidRDefault="0039498F" w:rsidP="0039498F">
      <w:pPr>
        <w:rPr>
          <w:rFonts w:ascii="Arial" w:hAnsi="Arial" w:cs="Arial"/>
          <w:color w:val="000000" w:themeColor="text1"/>
          <w:szCs w:val="20"/>
          <w:lang w:eastAsia="zh-CN"/>
        </w:rPr>
      </w:pPr>
    </w:p>
    <w:p w14:paraId="1E5BC5A1" w14:textId="77777777" w:rsidR="0039498F" w:rsidRPr="00D117F5" w:rsidRDefault="0039498F" w:rsidP="0039498F">
      <w:pPr>
        <w:rPr>
          <w:rFonts w:ascii="Arial" w:hAnsi="Arial" w:cs="Arial"/>
          <w:b/>
          <w:bCs/>
          <w:color w:val="000000" w:themeColor="text1"/>
          <w:szCs w:val="20"/>
          <w:lang w:eastAsia="zh-CN"/>
        </w:rPr>
      </w:pPr>
      <w:r w:rsidRPr="00D117F5">
        <w:rPr>
          <w:rFonts w:ascii="Arial" w:hAnsi="Arial" w:cs="Arial"/>
          <w:b/>
          <w:bCs/>
          <w:color w:val="000000" w:themeColor="text1"/>
          <w:szCs w:val="20"/>
          <w:lang w:eastAsia="zh-CN"/>
        </w:rPr>
        <w:t>Observation 3: For CPA, there is no source SN, therefore, T310 and T312 thresholds for CPA cannot be provisioned.</w:t>
      </w:r>
    </w:p>
    <w:p w14:paraId="41B977FF" w14:textId="77777777" w:rsidR="0039498F" w:rsidRPr="00D117F5" w:rsidRDefault="0039498F" w:rsidP="0039498F">
      <w:pPr>
        <w:rPr>
          <w:rFonts w:ascii="Arial" w:hAnsi="Arial" w:cs="Arial"/>
          <w:b/>
          <w:bCs/>
          <w:color w:val="000000" w:themeColor="text1"/>
          <w:szCs w:val="20"/>
          <w:lang w:eastAsia="zh-CN"/>
        </w:rPr>
      </w:pPr>
    </w:p>
    <w:p w14:paraId="033D488F" w14:textId="77777777" w:rsidR="0039498F" w:rsidRPr="00D117F5" w:rsidRDefault="0039498F" w:rsidP="0039498F">
      <w:pPr>
        <w:rPr>
          <w:rFonts w:ascii="Arial" w:hAnsi="Arial" w:cs="Arial"/>
          <w:b/>
          <w:bCs/>
          <w:color w:val="000000" w:themeColor="text1"/>
          <w:szCs w:val="20"/>
          <w:lang w:eastAsia="zh-CN"/>
        </w:rPr>
      </w:pPr>
      <w:r w:rsidRPr="00D117F5">
        <w:rPr>
          <w:rFonts w:ascii="Arial" w:hAnsi="Arial" w:cs="Arial"/>
          <w:b/>
          <w:bCs/>
          <w:color w:val="000000" w:themeColor="text1"/>
          <w:szCs w:val="20"/>
          <w:lang w:eastAsia="zh-CN"/>
        </w:rPr>
        <w:t>Proposal 7: For CPA, the T304 trigger (</w:t>
      </w:r>
      <w:proofErr w:type="spellStart"/>
      <w:r w:rsidRPr="00D117F5">
        <w:rPr>
          <w:rFonts w:ascii="Arial" w:hAnsi="Arial" w:cs="Arial"/>
          <w:b/>
          <w:bCs/>
          <w:color w:val="000000" w:themeColor="text1"/>
          <w:szCs w:val="20"/>
          <w:lang w:eastAsia="zh-CN"/>
        </w:rPr>
        <w:t>e.g</w:t>
      </w:r>
      <w:proofErr w:type="spellEnd"/>
      <w:r w:rsidRPr="00D117F5">
        <w:rPr>
          <w:rFonts w:ascii="Arial" w:hAnsi="Arial" w:cs="Arial"/>
          <w:b/>
          <w:bCs/>
          <w:color w:val="000000" w:themeColor="text1"/>
          <w:szCs w:val="20"/>
          <w:lang w:eastAsia="zh-CN"/>
        </w:rPr>
        <w:t xml:space="preserve"> timer threshold) is configured by the target SN. T310/T312 triggers are not configured for CPA.</w:t>
      </w:r>
    </w:p>
    <w:p w14:paraId="300626ED" w14:textId="61D910D1" w:rsidR="006001D8" w:rsidRPr="00D117F5" w:rsidRDefault="006001D8" w:rsidP="00A23D80">
      <w:pPr>
        <w:rPr>
          <w:rFonts w:ascii="Arial" w:hAnsi="Arial" w:cs="Arial"/>
          <w:b/>
          <w:bCs/>
          <w:szCs w:val="20"/>
          <w:lang w:val="en-GB" w:eastAsia="zh-CN"/>
        </w:rPr>
      </w:pPr>
    </w:p>
    <w:p w14:paraId="304D03CF" w14:textId="77777777" w:rsidR="00F731D6" w:rsidRPr="00BF76CD" w:rsidRDefault="00F731D6" w:rsidP="00F731D6">
      <w:pPr>
        <w:rPr>
          <w:rFonts w:ascii="Arial" w:hAnsi="Arial" w:cs="Arial"/>
          <w:b/>
          <w:bCs/>
          <w:lang w:val="en-GB"/>
        </w:rPr>
      </w:pPr>
      <w:r w:rsidRPr="00BF76CD">
        <w:rPr>
          <w:rFonts w:ascii="Arial" w:hAnsi="Arial" w:cs="Arial"/>
          <w:b/>
          <w:bCs/>
          <w:lang w:val="en-GB"/>
        </w:rPr>
        <w:t>Proposal 8: RAN2 should discuss the following two methods for determining/configuring T310/T312 threshold at the UE,</w:t>
      </w:r>
    </w:p>
    <w:p w14:paraId="1597DBF7" w14:textId="77777777" w:rsidR="00F731D6" w:rsidRPr="00BF76CD" w:rsidRDefault="00F731D6" w:rsidP="00F731D6">
      <w:pPr>
        <w:pStyle w:val="ListParagraph"/>
        <w:numPr>
          <w:ilvl w:val="0"/>
          <w:numId w:val="48"/>
        </w:numPr>
        <w:ind w:left="1080" w:hanging="270"/>
        <w:rPr>
          <w:rFonts w:ascii="Arial" w:hAnsi="Arial" w:cs="Arial"/>
          <w:b/>
          <w:bCs/>
          <w:lang w:val="en-GB"/>
        </w:rPr>
      </w:pPr>
      <w:r w:rsidRPr="00BF76CD">
        <w:rPr>
          <w:rFonts w:ascii="Arial" w:hAnsi="Arial" w:cs="Arial"/>
          <w:b/>
          <w:bCs/>
          <w:lang w:val="en-GB"/>
        </w:rPr>
        <w:t xml:space="preserve">MN decides T310/T312 threshold for SPR after SN </w:t>
      </w:r>
      <w:proofErr w:type="gramStart"/>
      <w:r w:rsidRPr="00BF76CD">
        <w:rPr>
          <w:rFonts w:ascii="Arial" w:hAnsi="Arial" w:cs="Arial"/>
          <w:b/>
          <w:bCs/>
          <w:lang w:val="en-GB"/>
        </w:rPr>
        <w:t>provides assistance</w:t>
      </w:r>
      <w:proofErr w:type="gramEnd"/>
      <w:r w:rsidRPr="00BF76CD">
        <w:rPr>
          <w:rFonts w:ascii="Arial" w:hAnsi="Arial" w:cs="Arial"/>
          <w:b/>
          <w:bCs/>
          <w:lang w:val="en-GB"/>
        </w:rPr>
        <w:t xml:space="preserve"> (i.e., configured T310/T312 values) to MN via Xn </w:t>
      </w:r>
      <w:proofErr w:type="spellStart"/>
      <w:r w:rsidRPr="00BF76CD">
        <w:rPr>
          <w:rFonts w:ascii="Arial" w:hAnsi="Arial" w:cs="Arial"/>
          <w:b/>
          <w:bCs/>
          <w:lang w:val="en-GB"/>
        </w:rPr>
        <w:t>signaling</w:t>
      </w:r>
      <w:proofErr w:type="spellEnd"/>
      <w:r w:rsidRPr="00BF76CD">
        <w:rPr>
          <w:rFonts w:ascii="Arial" w:hAnsi="Arial" w:cs="Arial"/>
          <w:b/>
          <w:bCs/>
          <w:lang w:val="en-GB"/>
        </w:rPr>
        <w:t xml:space="preserve"> for deciding T310/T312 thresholds. </w:t>
      </w:r>
      <w:r w:rsidRPr="00BF76CD">
        <w:rPr>
          <w:rFonts w:ascii="Arial" w:hAnsi="Arial" w:cs="Arial"/>
          <w:b/>
          <w:bCs/>
        </w:rPr>
        <w:t>MN configures the T310/T312 SPR thresholds to UE via MN RRCReconfiguration.</w:t>
      </w:r>
      <w:r w:rsidRPr="00BF76CD">
        <w:rPr>
          <w:rFonts w:ascii="Arial" w:hAnsi="Arial" w:cs="Arial"/>
          <w:b/>
          <w:bCs/>
          <w:lang w:val="en-GB"/>
        </w:rPr>
        <w:t xml:space="preserve"> </w:t>
      </w:r>
    </w:p>
    <w:p w14:paraId="7DDE5C4E" w14:textId="77777777" w:rsidR="00F731D6" w:rsidRPr="00BF76CD" w:rsidRDefault="00F731D6" w:rsidP="00F731D6">
      <w:pPr>
        <w:pStyle w:val="ListParagraph"/>
        <w:numPr>
          <w:ilvl w:val="0"/>
          <w:numId w:val="48"/>
        </w:numPr>
        <w:ind w:left="1080" w:hanging="270"/>
        <w:rPr>
          <w:rFonts w:ascii="Arial" w:hAnsi="Arial" w:cs="Arial"/>
          <w:b/>
          <w:bCs/>
          <w:lang w:val="en-GB"/>
        </w:rPr>
      </w:pPr>
      <w:r w:rsidRPr="00BF76CD">
        <w:rPr>
          <w:rFonts w:ascii="Arial" w:hAnsi="Arial" w:cs="Arial"/>
          <w:b/>
          <w:bCs/>
          <w:lang w:val="en-GB"/>
        </w:rPr>
        <w:t xml:space="preserve">Source SN decides T310/T312 threshold for SPR and indicates MN via Xn </w:t>
      </w:r>
      <w:proofErr w:type="spellStart"/>
      <w:r w:rsidRPr="00BF76CD">
        <w:rPr>
          <w:rFonts w:ascii="Arial" w:hAnsi="Arial" w:cs="Arial"/>
          <w:b/>
          <w:bCs/>
          <w:lang w:val="en-GB"/>
        </w:rPr>
        <w:t>signaling</w:t>
      </w:r>
      <w:proofErr w:type="spellEnd"/>
      <w:r w:rsidRPr="00BF76CD">
        <w:rPr>
          <w:rFonts w:ascii="Arial" w:hAnsi="Arial" w:cs="Arial"/>
          <w:b/>
          <w:bCs/>
          <w:lang w:val="en-GB"/>
        </w:rPr>
        <w:t xml:space="preserve">. </w:t>
      </w:r>
      <w:r w:rsidRPr="00BF76CD">
        <w:rPr>
          <w:rFonts w:ascii="Arial" w:hAnsi="Arial" w:cs="Arial"/>
          <w:b/>
          <w:bCs/>
        </w:rPr>
        <w:t>MN configures the T310/T312 SPR threshold to UE via MN RRCReconfiguration.</w:t>
      </w:r>
    </w:p>
    <w:p w14:paraId="56882AC6" w14:textId="77777777" w:rsidR="00F731D6" w:rsidRPr="00BF76CD" w:rsidRDefault="00F731D6" w:rsidP="00F731D6">
      <w:pPr>
        <w:pStyle w:val="ListParagraph"/>
        <w:numPr>
          <w:ilvl w:val="0"/>
          <w:numId w:val="48"/>
        </w:numPr>
        <w:ind w:left="1080" w:hanging="270"/>
        <w:rPr>
          <w:rFonts w:ascii="Arial" w:hAnsi="Arial" w:cs="Arial"/>
          <w:b/>
          <w:bCs/>
          <w:lang w:val="en-GB"/>
        </w:rPr>
      </w:pPr>
      <w:r w:rsidRPr="00BF76CD">
        <w:rPr>
          <w:rFonts w:ascii="Arial" w:hAnsi="Arial" w:cs="Arial"/>
          <w:b/>
          <w:bCs/>
          <w:lang w:val="en-GB"/>
        </w:rPr>
        <w:t>Source SN decides T310/T312 threshold for SPR and configures UE via SN RRCReconfiguration</w:t>
      </w:r>
      <w:r>
        <w:rPr>
          <w:rFonts w:ascii="Arial" w:hAnsi="Arial" w:cs="Arial"/>
          <w:b/>
          <w:bCs/>
          <w:lang w:val="en-GB"/>
        </w:rPr>
        <w:t>.</w:t>
      </w:r>
      <w:r w:rsidRPr="00BF76CD">
        <w:rPr>
          <w:rFonts w:ascii="Arial" w:hAnsi="Arial" w:cs="Arial"/>
          <w:b/>
          <w:bCs/>
          <w:lang w:val="en-GB"/>
        </w:rPr>
        <w:t xml:space="preserve"> </w:t>
      </w:r>
    </w:p>
    <w:p w14:paraId="5F66FC5D" w14:textId="1EE870CE" w:rsidR="0039498F" w:rsidRPr="00D117F5" w:rsidRDefault="0039498F" w:rsidP="00A23D80">
      <w:pPr>
        <w:rPr>
          <w:rFonts w:ascii="Arial" w:hAnsi="Arial" w:cs="Arial"/>
          <w:b/>
          <w:bCs/>
          <w:szCs w:val="20"/>
          <w:lang w:val="en-GB" w:eastAsia="zh-CN"/>
        </w:rPr>
      </w:pPr>
    </w:p>
    <w:p w14:paraId="05A459B8" w14:textId="5ED1626C" w:rsidR="00413EF9" w:rsidRPr="00D117F5" w:rsidRDefault="00413EF9" w:rsidP="00413EF9">
      <w:pPr>
        <w:rPr>
          <w:rFonts w:ascii="Arial" w:hAnsi="Arial" w:cs="Arial"/>
          <w:b/>
          <w:bCs/>
          <w:szCs w:val="20"/>
          <w:lang w:val="en-GB" w:eastAsia="zh-CN"/>
        </w:rPr>
      </w:pPr>
      <w:r w:rsidRPr="00D117F5">
        <w:rPr>
          <w:rFonts w:ascii="Arial" w:hAnsi="Arial" w:cs="Arial"/>
          <w:b/>
          <w:bCs/>
          <w:szCs w:val="20"/>
          <w:lang w:val="en-GB" w:eastAsia="zh-CN"/>
        </w:rPr>
        <w:t xml:space="preserve">Observation </w:t>
      </w:r>
      <w:r w:rsidR="00010D3B" w:rsidRPr="00D117F5">
        <w:rPr>
          <w:rFonts w:ascii="Arial" w:hAnsi="Arial" w:cs="Arial"/>
          <w:b/>
          <w:bCs/>
          <w:szCs w:val="20"/>
          <w:lang w:val="en-GB" w:eastAsia="zh-CN"/>
        </w:rPr>
        <w:t>4</w:t>
      </w:r>
      <w:r w:rsidRPr="00D117F5">
        <w:rPr>
          <w:rFonts w:ascii="Arial" w:hAnsi="Arial" w:cs="Arial"/>
          <w:b/>
          <w:bCs/>
          <w:szCs w:val="20"/>
          <w:lang w:val="en-GB" w:eastAsia="zh-CN"/>
        </w:rPr>
        <w:t>: There can following two options for clearing the SPCR,</w:t>
      </w:r>
    </w:p>
    <w:p w14:paraId="0D12A49D" w14:textId="77777777" w:rsidR="00413EF9" w:rsidRPr="00D117F5" w:rsidRDefault="00413EF9" w:rsidP="00F731D6">
      <w:pPr>
        <w:pStyle w:val="ListParagraph"/>
        <w:numPr>
          <w:ilvl w:val="0"/>
          <w:numId w:val="47"/>
        </w:numPr>
        <w:rPr>
          <w:rFonts w:ascii="Arial" w:hAnsi="Arial" w:cs="Arial"/>
          <w:b/>
          <w:bCs/>
          <w:szCs w:val="20"/>
          <w:lang w:val="en-GB" w:eastAsia="zh-CN"/>
        </w:rPr>
      </w:pPr>
      <w:r w:rsidRPr="00D117F5">
        <w:rPr>
          <w:rFonts w:ascii="Arial" w:hAnsi="Arial" w:cs="Arial"/>
          <w:b/>
          <w:bCs/>
          <w:szCs w:val="20"/>
          <w:lang w:val="en-GB" w:eastAsia="zh-CN"/>
        </w:rPr>
        <w:t xml:space="preserve">Clear after 48 hours if not retrieved by network: UE generates the PSCell change report when configured trigger condition meets. Send the availability indicator in </w:t>
      </w:r>
      <w:proofErr w:type="spellStart"/>
      <w:r w:rsidRPr="00D117F5">
        <w:rPr>
          <w:rFonts w:ascii="Arial" w:hAnsi="Arial" w:cs="Arial"/>
          <w:b/>
          <w:bCs/>
          <w:szCs w:val="20"/>
          <w:lang w:val="en-GB" w:eastAsia="zh-CN"/>
        </w:rPr>
        <w:t>RRCReconfigurationComplete</w:t>
      </w:r>
      <w:proofErr w:type="spellEnd"/>
      <w:r w:rsidRPr="00D117F5">
        <w:rPr>
          <w:rFonts w:ascii="Arial" w:hAnsi="Arial" w:cs="Arial"/>
          <w:b/>
          <w:bCs/>
          <w:szCs w:val="20"/>
          <w:lang w:val="en-GB" w:eastAsia="zh-CN"/>
        </w:rPr>
        <w:t xml:space="preserve"> (containing </w:t>
      </w:r>
      <w:proofErr w:type="spellStart"/>
      <w:r w:rsidRPr="00D117F5">
        <w:rPr>
          <w:rFonts w:ascii="Arial" w:hAnsi="Arial" w:cs="Arial"/>
          <w:b/>
          <w:bCs/>
          <w:szCs w:val="20"/>
          <w:lang w:val="en-GB" w:eastAsia="zh-CN"/>
        </w:rPr>
        <w:t>RRCReconfigurationWithSYNC</w:t>
      </w:r>
      <w:proofErr w:type="spellEnd"/>
      <w:r w:rsidRPr="00D117F5">
        <w:rPr>
          <w:rFonts w:ascii="Arial" w:hAnsi="Arial" w:cs="Arial"/>
          <w:b/>
          <w:bCs/>
          <w:szCs w:val="20"/>
          <w:lang w:val="en-GB" w:eastAsia="zh-CN"/>
        </w:rPr>
        <w:t xml:space="preserve"> for SCG), and other RRC complete messages. Clear after 48 hours if not retrieved by the network. </w:t>
      </w:r>
    </w:p>
    <w:p w14:paraId="1F41DA6D" w14:textId="77777777" w:rsidR="00413EF9" w:rsidRPr="00D117F5" w:rsidRDefault="00413EF9" w:rsidP="00F731D6">
      <w:pPr>
        <w:pStyle w:val="ListParagraph"/>
        <w:numPr>
          <w:ilvl w:val="0"/>
          <w:numId w:val="47"/>
        </w:numPr>
        <w:rPr>
          <w:rFonts w:ascii="Arial" w:hAnsi="Arial" w:cs="Arial"/>
          <w:b/>
          <w:bCs/>
          <w:szCs w:val="20"/>
          <w:lang w:val="en-GB" w:eastAsia="zh-CN"/>
        </w:rPr>
      </w:pPr>
      <w:r w:rsidRPr="00D117F5">
        <w:rPr>
          <w:rFonts w:ascii="Arial" w:hAnsi="Arial" w:cs="Arial"/>
          <w:b/>
          <w:bCs/>
          <w:szCs w:val="20"/>
          <w:lang w:val="en-GB" w:eastAsia="zh-CN"/>
        </w:rPr>
        <w:t xml:space="preserve">Clear upon PCell change: UE generates the PSCell change report when configured trigger condition meets. Send the availability indicator in </w:t>
      </w:r>
      <w:proofErr w:type="spellStart"/>
      <w:r w:rsidRPr="00D117F5">
        <w:rPr>
          <w:rFonts w:ascii="Arial" w:hAnsi="Arial" w:cs="Arial"/>
          <w:b/>
          <w:bCs/>
          <w:szCs w:val="20"/>
          <w:lang w:val="en-GB" w:eastAsia="zh-CN"/>
        </w:rPr>
        <w:t>RRCReconfigurationComplete</w:t>
      </w:r>
      <w:proofErr w:type="spellEnd"/>
      <w:r w:rsidRPr="00D117F5">
        <w:rPr>
          <w:rFonts w:ascii="Arial" w:hAnsi="Arial" w:cs="Arial"/>
          <w:b/>
          <w:bCs/>
          <w:szCs w:val="20"/>
          <w:lang w:val="en-GB" w:eastAsia="zh-CN"/>
        </w:rPr>
        <w:t xml:space="preserve"> (containing </w:t>
      </w:r>
      <w:proofErr w:type="spellStart"/>
      <w:r w:rsidRPr="00D117F5">
        <w:rPr>
          <w:rFonts w:ascii="Arial" w:hAnsi="Arial" w:cs="Arial"/>
          <w:b/>
          <w:bCs/>
          <w:szCs w:val="20"/>
          <w:lang w:val="en-GB" w:eastAsia="zh-CN"/>
        </w:rPr>
        <w:t>RRCReconfigurationWithSYNC</w:t>
      </w:r>
      <w:proofErr w:type="spellEnd"/>
      <w:r w:rsidRPr="00D117F5">
        <w:rPr>
          <w:rFonts w:ascii="Arial" w:hAnsi="Arial" w:cs="Arial"/>
          <w:b/>
          <w:bCs/>
          <w:szCs w:val="20"/>
          <w:lang w:val="en-GB" w:eastAsia="zh-CN"/>
        </w:rPr>
        <w:t xml:space="preserve"> for SCG) messages. Clear after UE changes PCell. </w:t>
      </w:r>
    </w:p>
    <w:p w14:paraId="3C6554B3" w14:textId="77777777" w:rsidR="00413EF9" w:rsidRPr="00D117F5" w:rsidRDefault="00413EF9" w:rsidP="00413EF9">
      <w:pPr>
        <w:rPr>
          <w:rFonts w:ascii="Arial" w:hAnsi="Arial" w:cs="Arial"/>
          <w:szCs w:val="20"/>
          <w:lang w:val="en-GB" w:eastAsia="zh-CN"/>
        </w:rPr>
      </w:pPr>
    </w:p>
    <w:p w14:paraId="16EA6052" w14:textId="6EBC8781" w:rsidR="00413EF9" w:rsidRPr="00D117F5" w:rsidRDefault="00413EF9" w:rsidP="00413EF9">
      <w:pPr>
        <w:rPr>
          <w:rFonts w:ascii="Arial" w:hAnsi="Arial" w:cs="Arial"/>
          <w:b/>
          <w:bCs/>
          <w:szCs w:val="20"/>
          <w:lang w:val="en-GB" w:eastAsia="zh-CN"/>
        </w:rPr>
      </w:pPr>
      <w:r w:rsidRPr="00D117F5">
        <w:rPr>
          <w:rFonts w:ascii="Arial" w:hAnsi="Arial" w:cs="Arial"/>
          <w:b/>
          <w:bCs/>
          <w:szCs w:val="20"/>
          <w:lang w:val="en-GB" w:eastAsia="zh-CN"/>
        </w:rPr>
        <w:t xml:space="preserve">Observation </w:t>
      </w:r>
      <w:r w:rsidR="00010D3B" w:rsidRPr="00D117F5">
        <w:rPr>
          <w:rFonts w:ascii="Arial" w:hAnsi="Arial" w:cs="Arial"/>
          <w:b/>
          <w:bCs/>
          <w:szCs w:val="20"/>
          <w:lang w:val="en-GB" w:eastAsia="zh-CN"/>
        </w:rPr>
        <w:t>5</w:t>
      </w:r>
      <w:r w:rsidRPr="00D117F5">
        <w:rPr>
          <w:rFonts w:ascii="Arial" w:hAnsi="Arial" w:cs="Arial"/>
          <w:b/>
          <w:bCs/>
          <w:szCs w:val="20"/>
          <w:lang w:val="en-GB" w:eastAsia="zh-CN"/>
        </w:rPr>
        <w:t xml:space="preserve">: There can be multiple PSCell change/addition procedures when UE is connected to the same PCell. </w:t>
      </w:r>
    </w:p>
    <w:p w14:paraId="387DE668" w14:textId="77777777" w:rsidR="00413EF9" w:rsidRPr="00D117F5" w:rsidRDefault="00413EF9" w:rsidP="00413EF9">
      <w:pPr>
        <w:rPr>
          <w:rFonts w:ascii="Arial" w:hAnsi="Arial" w:cs="Arial"/>
          <w:b/>
          <w:bCs/>
          <w:szCs w:val="20"/>
          <w:lang w:val="en-GB" w:eastAsia="zh-CN"/>
        </w:rPr>
      </w:pPr>
    </w:p>
    <w:p w14:paraId="50FCFB99" w14:textId="1BB5EE2A" w:rsidR="00413EF9" w:rsidRPr="00D117F5" w:rsidRDefault="00413EF9" w:rsidP="00413EF9">
      <w:pPr>
        <w:rPr>
          <w:rFonts w:ascii="Arial" w:hAnsi="Arial" w:cs="Arial"/>
          <w:b/>
          <w:bCs/>
          <w:szCs w:val="20"/>
          <w:lang w:val="en-GB" w:eastAsia="zh-CN"/>
        </w:rPr>
      </w:pPr>
      <w:r w:rsidRPr="00D117F5">
        <w:rPr>
          <w:rFonts w:ascii="Arial" w:hAnsi="Arial" w:cs="Arial"/>
          <w:b/>
          <w:bCs/>
          <w:szCs w:val="20"/>
          <w:lang w:val="en-GB" w:eastAsia="zh-CN"/>
        </w:rPr>
        <w:t xml:space="preserve">Observation </w:t>
      </w:r>
      <w:r w:rsidR="00010D3B" w:rsidRPr="00D117F5">
        <w:rPr>
          <w:rFonts w:ascii="Arial" w:hAnsi="Arial" w:cs="Arial"/>
          <w:b/>
          <w:bCs/>
          <w:szCs w:val="20"/>
          <w:lang w:val="en-GB" w:eastAsia="zh-CN"/>
        </w:rPr>
        <w:t>6</w:t>
      </w:r>
      <w:r w:rsidRPr="00D117F5">
        <w:rPr>
          <w:rFonts w:ascii="Arial" w:hAnsi="Arial" w:cs="Arial"/>
          <w:b/>
          <w:bCs/>
          <w:szCs w:val="20"/>
          <w:lang w:val="en-GB" w:eastAsia="zh-CN"/>
        </w:rPr>
        <w:t>: As SPR can be frequently overwritten, therefore, there is no need for storing the PSCell report for a longer duration (i.e., for 48 hours) at the UE.</w:t>
      </w:r>
    </w:p>
    <w:p w14:paraId="144CF1EE" w14:textId="77777777" w:rsidR="00413EF9" w:rsidRPr="00D117F5" w:rsidRDefault="00413EF9" w:rsidP="00413EF9">
      <w:pPr>
        <w:rPr>
          <w:rFonts w:ascii="Arial" w:hAnsi="Arial" w:cs="Arial"/>
          <w:b/>
          <w:bCs/>
          <w:szCs w:val="20"/>
          <w:lang w:val="en-GB" w:eastAsia="zh-CN"/>
        </w:rPr>
      </w:pPr>
    </w:p>
    <w:p w14:paraId="66E9E6AA" w14:textId="77777777" w:rsidR="00413EF9" w:rsidRPr="004717E0" w:rsidRDefault="00413EF9" w:rsidP="00413EF9">
      <w:pPr>
        <w:rPr>
          <w:rFonts w:ascii="Arial" w:hAnsi="Arial" w:cs="Arial"/>
          <w:b/>
          <w:bCs/>
          <w:szCs w:val="20"/>
          <w:lang w:val="en-GB" w:eastAsia="zh-CN"/>
        </w:rPr>
      </w:pPr>
      <w:r w:rsidRPr="00D117F5">
        <w:rPr>
          <w:rFonts w:ascii="Arial" w:hAnsi="Arial" w:cs="Arial"/>
          <w:b/>
          <w:bCs/>
          <w:szCs w:val="20"/>
          <w:lang w:val="en-GB" w:eastAsia="zh-CN"/>
        </w:rPr>
        <w:t xml:space="preserve">Proposal 9: UE can clear SPCR upon PCell change, i.e., UE generates the PSCell change report when configured trigger condition meets. Send the availability indicator in </w:t>
      </w:r>
      <w:proofErr w:type="spellStart"/>
      <w:r w:rsidRPr="00D117F5">
        <w:rPr>
          <w:rFonts w:ascii="Arial" w:hAnsi="Arial" w:cs="Arial"/>
          <w:b/>
          <w:bCs/>
          <w:szCs w:val="20"/>
          <w:lang w:val="en-GB" w:eastAsia="zh-CN"/>
        </w:rPr>
        <w:t>RRCReconfigurationComplete</w:t>
      </w:r>
      <w:proofErr w:type="spellEnd"/>
      <w:r w:rsidRPr="00D117F5">
        <w:rPr>
          <w:rFonts w:ascii="Arial" w:hAnsi="Arial" w:cs="Arial"/>
          <w:b/>
          <w:bCs/>
          <w:szCs w:val="20"/>
          <w:lang w:val="en-GB" w:eastAsia="zh-CN"/>
        </w:rPr>
        <w:t xml:space="preserve"> (containing </w:t>
      </w:r>
      <w:proofErr w:type="spellStart"/>
      <w:r w:rsidRPr="00D117F5">
        <w:rPr>
          <w:rFonts w:ascii="Arial" w:hAnsi="Arial" w:cs="Arial"/>
          <w:b/>
          <w:bCs/>
          <w:szCs w:val="20"/>
          <w:lang w:val="en-GB" w:eastAsia="zh-CN"/>
        </w:rPr>
        <w:t>RRCReconfigurationWithSYNC</w:t>
      </w:r>
      <w:proofErr w:type="spellEnd"/>
      <w:r w:rsidRPr="00D117F5">
        <w:rPr>
          <w:rFonts w:ascii="Arial" w:hAnsi="Arial" w:cs="Arial"/>
          <w:b/>
          <w:bCs/>
          <w:szCs w:val="20"/>
          <w:lang w:val="en-GB" w:eastAsia="zh-CN"/>
        </w:rPr>
        <w:t xml:space="preserve"> for SCG) messages. Clear after UE changes PCell. </w:t>
      </w:r>
      <w:r w:rsidRPr="004717E0">
        <w:rPr>
          <w:rFonts w:ascii="Arial" w:hAnsi="Arial" w:cs="Arial"/>
          <w:b/>
          <w:bCs/>
          <w:szCs w:val="20"/>
          <w:lang w:val="en-GB" w:eastAsia="zh-CN"/>
        </w:rPr>
        <w:t xml:space="preserve">   </w:t>
      </w:r>
    </w:p>
    <w:p w14:paraId="7E448709" w14:textId="77777777" w:rsidR="007B494F" w:rsidRPr="004717E0"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4717E0">
        <w:rPr>
          <w:b w:val="0"/>
          <w:bCs w:val="0"/>
          <w:kern w:val="0"/>
          <w:sz w:val="36"/>
          <w:szCs w:val="20"/>
          <w:lang w:val="fr-FR"/>
        </w:rPr>
        <w:t>Reference</w:t>
      </w:r>
    </w:p>
    <w:p w14:paraId="2E63C0E0" w14:textId="3097384F" w:rsidR="00F27027" w:rsidRPr="004717E0" w:rsidRDefault="004778A2" w:rsidP="006E0DC7">
      <w:pPr>
        <w:pStyle w:val="Caption"/>
        <w:rPr>
          <w:rFonts w:ascii="Arial" w:hAnsi="Arial" w:cs="Arial"/>
        </w:rPr>
      </w:pPr>
      <w:r w:rsidRPr="004717E0">
        <w:rPr>
          <w:rFonts w:ascii="Arial" w:eastAsia="SimSun" w:hAnsi="Arial" w:cs="Arial"/>
          <w:szCs w:val="24"/>
          <w:lang w:eastAsia="zh-CN"/>
        </w:rPr>
        <w:t xml:space="preserve">[1] </w:t>
      </w:r>
      <w:r w:rsidR="00FA13C5" w:rsidRPr="004717E0">
        <w:rPr>
          <w:rFonts w:ascii="Arial" w:eastAsia="SimSun" w:hAnsi="Arial" w:cs="Arial"/>
          <w:szCs w:val="24"/>
          <w:lang w:eastAsia="zh-CN"/>
        </w:rPr>
        <w:t>R</w:t>
      </w:r>
      <w:r w:rsidR="004542CD" w:rsidRPr="004717E0">
        <w:rPr>
          <w:rFonts w:ascii="Arial" w:eastAsia="SimSun" w:hAnsi="Arial" w:cs="Arial"/>
          <w:szCs w:val="24"/>
          <w:lang w:eastAsia="zh-CN"/>
        </w:rPr>
        <w:t>P-221825</w:t>
      </w:r>
      <w:r w:rsidR="00E21653" w:rsidRPr="004717E0">
        <w:rPr>
          <w:rFonts w:ascii="Arial" w:eastAsia="SimSun" w:hAnsi="Arial" w:cs="Arial"/>
          <w:szCs w:val="24"/>
          <w:lang w:eastAsia="zh-CN"/>
        </w:rPr>
        <w:t>, “</w:t>
      </w:r>
      <w:r w:rsidR="003C3352" w:rsidRPr="004717E0">
        <w:rPr>
          <w:rFonts w:ascii="Arial" w:eastAsia="SimSun" w:hAnsi="Arial" w:cs="Arial"/>
          <w:szCs w:val="24"/>
          <w:lang w:eastAsia="zh-CN"/>
        </w:rPr>
        <w:t>Revised WID: Further enhancement of data collection for SON (Self-Organising Networks)/MDT (Minimization of Drive Tests) in NR standalone and MR-DC (Multi-Radio Dual Connectivity)</w:t>
      </w:r>
      <w:r w:rsidR="00E21653" w:rsidRPr="004717E0">
        <w:rPr>
          <w:rFonts w:ascii="Arial" w:eastAsia="SimSun" w:hAnsi="Arial" w:cs="Arial"/>
          <w:szCs w:val="24"/>
          <w:lang w:eastAsia="zh-CN"/>
        </w:rPr>
        <w:t>”</w:t>
      </w:r>
    </w:p>
    <w:p w14:paraId="18D8A508" w14:textId="3AFAE0D2" w:rsidR="008A22A3" w:rsidRDefault="00B255C3" w:rsidP="006E0DC7">
      <w:pPr>
        <w:pStyle w:val="BodyText"/>
        <w:jc w:val="left"/>
        <w:rPr>
          <w:rFonts w:ascii="Arial" w:hAnsi="Arial" w:cs="Arial"/>
        </w:rPr>
      </w:pPr>
      <w:r w:rsidRPr="004717E0">
        <w:rPr>
          <w:rFonts w:ascii="Arial" w:eastAsia="SimSun" w:hAnsi="Arial" w:cs="Arial"/>
          <w:lang w:val="en-GB"/>
        </w:rPr>
        <w:t xml:space="preserve">[3] </w:t>
      </w:r>
      <w:r w:rsidR="00413EF9">
        <w:rPr>
          <w:rFonts w:ascii="Arial" w:hAnsi="Arial" w:cs="Arial"/>
        </w:rPr>
        <w:t>RAN2#120 meeting report</w:t>
      </w:r>
    </w:p>
    <w:p w14:paraId="5EF14F4D" w14:textId="77777777" w:rsidR="00390CE6" w:rsidRPr="004717E0" w:rsidRDefault="00390CE6" w:rsidP="00390CE6">
      <w:pPr>
        <w:pStyle w:val="BodyText"/>
        <w:jc w:val="left"/>
        <w:rPr>
          <w:rFonts w:ascii="Arial" w:eastAsia="SimSun" w:hAnsi="Arial" w:cs="Arial"/>
          <w:lang w:val="en-GB"/>
        </w:rPr>
      </w:pPr>
      <w:r w:rsidRPr="004717E0">
        <w:rPr>
          <w:rFonts w:ascii="Arial" w:eastAsia="SimSun" w:hAnsi="Arial" w:cs="Arial"/>
          <w:lang w:val="en-GB"/>
        </w:rPr>
        <w:t>[2] RAN2#119</w:t>
      </w:r>
      <w:r>
        <w:rPr>
          <w:rFonts w:ascii="Arial" w:eastAsia="SimSun" w:hAnsi="Arial" w:cs="Arial"/>
          <w:lang w:val="en-GB"/>
        </w:rPr>
        <w:t>bis</w:t>
      </w:r>
      <w:r w:rsidRPr="004717E0">
        <w:rPr>
          <w:rFonts w:ascii="Arial" w:eastAsia="SimSun" w:hAnsi="Arial" w:cs="Arial"/>
          <w:lang w:val="en-GB"/>
        </w:rPr>
        <w:t>-emeeting report</w:t>
      </w:r>
    </w:p>
    <w:p w14:paraId="0B40BF13" w14:textId="477BCEA6" w:rsidR="00CA5DC3" w:rsidRPr="004717E0" w:rsidRDefault="00CA5DC3" w:rsidP="006E0DC7">
      <w:pPr>
        <w:pStyle w:val="BodyText"/>
        <w:jc w:val="left"/>
        <w:rPr>
          <w:rFonts w:ascii="Arial" w:hAnsi="Arial" w:cs="Arial"/>
        </w:rPr>
      </w:pPr>
      <w:r w:rsidRPr="004717E0">
        <w:rPr>
          <w:rFonts w:ascii="Arial" w:hAnsi="Arial" w:cs="Arial"/>
        </w:rPr>
        <w:t>[</w:t>
      </w:r>
      <w:r w:rsidR="00B255C3" w:rsidRPr="004717E0">
        <w:rPr>
          <w:rFonts w:ascii="Arial" w:hAnsi="Arial" w:cs="Arial"/>
        </w:rPr>
        <w:t>4</w:t>
      </w:r>
      <w:r w:rsidRPr="004717E0">
        <w:rPr>
          <w:rFonts w:ascii="Arial" w:hAnsi="Arial" w:cs="Arial"/>
        </w:rPr>
        <w:t xml:space="preserve">] </w:t>
      </w:r>
      <w:r w:rsidR="00413EF9">
        <w:rPr>
          <w:rFonts w:ascii="Arial" w:hAnsi="Arial" w:cs="Arial"/>
        </w:rPr>
        <w:t>RAN3#118 meeting report</w:t>
      </w:r>
    </w:p>
    <w:sectPr w:rsidR="00CA5DC3" w:rsidRPr="004717E0">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2B86D" w14:textId="77777777" w:rsidR="00AE2C7D" w:rsidRDefault="00AE2C7D">
      <w:r>
        <w:separator/>
      </w:r>
    </w:p>
  </w:endnote>
  <w:endnote w:type="continuationSeparator" w:id="0">
    <w:p w14:paraId="192EEE87" w14:textId="77777777" w:rsidR="00AE2C7D" w:rsidRDefault="00AE2C7D">
      <w:r>
        <w:continuationSeparator/>
      </w:r>
    </w:p>
  </w:endnote>
  <w:endnote w:type="continuationNotice" w:id="1">
    <w:p w14:paraId="5983B6C2" w14:textId="77777777" w:rsidR="00AE2C7D" w:rsidRDefault="00AE2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56B88" w14:textId="77777777" w:rsidR="00AE2C7D" w:rsidRDefault="00AE2C7D">
      <w:r>
        <w:separator/>
      </w:r>
    </w:p>
  </w:footnote>
  <w:footnote w:type="continuationSeparator" w:id="0">
    <w:p w14:paraId="00BE46BA" w14:textId="77777777" w:rsidR="00AE2C7D" w:rsidRDefault="00AE2C7D">
      <w:r>
        <w:continuationSeparator/>
      </w:r>
    </w:p>
  </w:footnote>
  <w:footnote w:type="continuationNotice" w:id="1">
    <w:p w14:paraId="44C87C87" w14:textId="77777777" w:rsidR="00AE2C7D" w:rsidRDefault="00AE2C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1D3B"/>
    <w:multiLevelType w:val="hybridMultilevel"/>
    <w:tmpl w:val="8BA499EA"/>
    <w:lvl w:ilvl="0" w:tplc="4C52567C">
      <w:start w:val="1"/>
      <w:numFmt w:val="bullet"/>
      <w:lvlText w:val="-"/>
      <w:lvlJc w:val="left"/>
      <w:pPr>
        <w:ind w:left="216" w:hanging="216"/>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40061E"/>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7307D1E"/>
    <w:multiLevelType w:val="hybridMultilevel"/>
    <w:tmpl w:val="639E136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7730D"/>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C06E8D"/>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0E608D0"/>
    <w:multiLevelType w:val="hybridMultilevel"/>
    <w:tmpl w:val="A73ACFBC"/>
    <w:lvl w:ilvl="0" w:tplc="A9C2E3AE">
      <w:start w:val="1"/>
      <w:numFmt w:val="bullet"/>
      <w:lvlText w:val="-"/>
      <w:lvlJc w:val="left"/>
      <w:pPr>
        <w:ind w:left="288" w:hanging="288"/>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24052AC"/>
    <w:multiLevelType w:val="hybridMultilevel"/>
    <w:tmpl w:val="4FC6BF94"/>
    <w:lvl w:ilvl="0" w:tplc="0BC4A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B2DF3"/>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56E60D5"/>
    <w:multiLevelType w:val="hybridMultilevel"/>
    <w:tmpl w:val="3768FAA4"/>
    <w:lvl w:ilvl="0" w:tplc="9C80890C">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E511A"/>
    <w:multiLevelType w:val="hybridMultilevel"/>
    <w:tmpl w:val="35289824"/>
    <w:lvl w:ilvl="0" w:tplc="FFFFFFFF">
      <w:start w:val="1"/>
      <w:numFmt w:val="decimal"/>
      <w:lvlText w:val="%1)"/>
      <w:lvlJc w:val="left"/>
      <w:pPr>
        <w:ind w:left="720" w:hanging="720"/>
      </w:pPr>
      <w:rPr>
        <w:rFonts w:hint="default"/>
      </w:r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B024D07"/>
    <w:multiLevelType w:val="hybridMultilevel"/>
    <w:tmpl w:val="B4EC6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1525A0"/>
    <w:multiLevelType w:val="hybridMultilevel"/>
    <w:tmpl w:val="47061E80"/>
    <w:lvl w:ilvl="0" w:tplc="FFFFFFFF">
      <w:start w:val="1"/>
      <w:numFmt w:val="decimal"/>
      <w:lvlText w:val="Option %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EA7DAE"/>
    <w:multiLevelType w:val="hybridMultilevel"/>
    <w:tmpl w:val="7BC8428E"/>
    <w:lvl w:ilvl="0" w:tplc="746E1686">
      <w:start w:val="1"/>
      <w:numFmt w:val="decimal"/>
      <w:lvlText w:val="2.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1670EC"/>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AF52265"/>
    <w:multiLevelType w:val="hybridMultilevel"/>
    <w:tmpl w:val="D4401868"/>
    <w:lvl w:ilvl="0" w:tplc="C4823276">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987C02"/>
    <w:multiLevelType w:val="hybridMultilevel"/>
    <w:tmpl w:val="56020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31583A"/>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35DD174F"/>
    <w:multiLevelType w:val="hybridMultilevel"/>
    <w:tmpl w:val="47061E80"/>
    <w:lvl w:ilvl="0" w:tplc="FFFFFFFF">
      <w:start w:val="1"/>
      <w:numFmt w:val="decimal"/>
      <w:lvlText w:val="Option %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50DC3"/>
    <w:multiLevelType w:val="hybridMultilevel"/>
    <w:tmpl w:val="4F306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9C373A"/>
    <w:multiLevelType w:val="hybridMultilevel"/>
    <w:tmpl w:val="B69CF15E"/>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780DFA"/>
    <w:multiLevelType w:val="multilevel"/>
    <w:tmpl w:val="E6F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AC825C6"/>
    <w:multiLevelType w:val="multilevel"/>
    <w:tmpl w:val="964E9614"/>
    <w:lvl w:ilvl="0">
      <w:start w:val="2"/>
      <w:numFmt w:val="decimal"/>
      <w:lvlText w:val="%1."/>
      <w:lvlJc w:val="left"/>
      <w:pPr>
        <w:ind w:left="360" w:hanging="360"/>
      </w:pPr>
      <w:rPr>
        <w:rFonts w:hint="default"/>
      </w:rPr>
    </w:lvl>
    <w:lvl w:ilvl="1">
      <w:start w:val="4"/>
      <w:numFmt w:val="decimal"/>
      <w:isLgl/>
      <w:lvlText w:val="%1.%2"/>
      <w:lvlJc w:val="left"/>
      <w:pPr>
        <w:ind w:left="495" w:hanging="49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4B885C53"/>
    <w:multiLevelType w:val="hybridMultilevel"/>
    <w:tmpl w:val="47061E80"/>
    <w:lvl w:ilvl="0" w:tplc="8C32BB92">
      <w:start w:val="1"/>
      <w:numFmt w:val="decimal"/>
      <w:lvlText w:val="Option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3A47489"/>
    <w:multiLevelType w:val="hybridMultilevel"/>
    <w:tmpl w:val="9C420A2C"/>
    <w:lvl w:ilvl="0" w:tplc="4928E45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7E81F40"/>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A890887"/>
    <w:multiLevelType w:val="hybridMultilevel"/>
    <w:tmpl w:val="04B86970"/>
    <w:lvl w:ilvl="0" w:tplc="394A1A7E">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A9D71A7"/>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B312B18"/>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470707E"/>
    <w:multiLevelType w:val="hybridMultilevel"/>
    <w:tmpl w:val="E8EA2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3944666"/>
    <w:multiLevelType w:val="hybridMultilevel"/>
    <w:tmpl w:val="2042F4C2"/>
    <w:lvl w:ilvl="0" w:tplc="50C642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5895A81"/>
    <w:multiLevelType w:val="hybridMultilevel"/>
    <w:tmpl w:val="47061E80"/>
    <w:lvl w:ilvl="0" w:tplc="FFFFFFFF">
      <w:start w:val="1"/>
      <w:numFmt w:val="decimal"/>
      <w:lvlText w:val="Option %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7AE2F5F"/>
    <w:multiLevelType w:val="multilevel"/>
    <w:tmpl w:val="123E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A1D6F19"/>
    <w:multiLevelType w:val="hybridMultilevel"/>
    <w:tmpl w:val="F252BF1E"/>
    <w:lvl w:ilvl="0" w:tplc="04090001">
      <w:start w:val="1"/>
      <w:numFmt w:val="bullet"/>
      <w:lvlText w:val=""/>
      <w:lvlJc w:val="left"/>
      <w:pPr>
        <w:ind w:left="720" w:hanging="72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7" w15:restartNumberingAfterBreak="0">
    <w:nsid w:val="7D381C8F"/>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364982194">
    <w:abstractNumId w:val="46"/>
  </w:num>
  <w:num w:numId="2" w16cid:durableId="231084609">
    <w:abstractNumId w:val="39"/>
  </w:num>
  <w:num w:numId="3" w16cid:durableId="208349009">
    <w:abstractNumId w:val="23"/>
  </w:num>
  <w:num w:numId="4" w16cid:durableId="57945094">
    <w:abstractNumId w:val="29"/>
  </w:num>
  <w:num w:numId="5" w16cid:durableId="813448418">
    <w:abstractNumId w:val="24"/>
  </w:num>
  <w:num w:numId="6" w16cid:durableId="68770379">
    <w:abstractNumId w:val="37"/>
  </w:num>
  <w:num w:numId="7" w16cid:durableId="1498155627">
    <w:abstractNumId w:val="1"/>
  </w:num>
  <w:num w:numId="8" w16cid:durableId="499735729">
    <w:abstractNumId w:val="31"/>
  </w:num>
  <w:num w:numId="9" w16cid:durableId="1063870809">
    <w:abstractNumId w:val="36"/>
  </w:num>
  <w:num w:numId="10" w16cid:durableId="2032536276">
    <w:abstractNumId w:val="14"/>
  </w:num>
  <w:num w:numId="11" w16cid:durableId="814222456">
    <w:abstractNumId w:val="38"/>
  </w:num>
  <w:num w:numId="12" w16cid:durableId="572619198">
    <w:abstractNumId w:val="21"/>
  </w:num>
  <w:num w:numId="13" w16cid:durableId="1156144852">
    <w:abstractNumId w:val="35"/>
  </w:num>
  <w:num w:numId="14" w16cid:durableId="1657882428">
    <w:abstractNumId w:val="7"/>
  </w:num>
  <w:num w:numId="15" w16cid:durableId="1665427036">
    <w:abstractNumId w:val="15"/>
  </w:num>
  <w:num w:numId="16" w16cid:durableId="1359090377">
    <w:abstractNumId w:val="3"/>
  </w:num>
  <w:num w:numId="17" w16cid:durableId="1241063752">
    <w:abstractNumId w:val="17"/>
  </w:num>
  <w:num w:numId="18" w16cid:durableId="1316880620">
    <w:abstractNumId w:val="4"/>
  </w:num>
  <w:num w:numId="19" w16cid:durableId="1486819920">
    <w:abstractNumId w:val="43"/>
  </w:num>
  <w:num w:numId="20" w16cid:durableId="217017884">
    <w:abstractNumId w:val="22"/>
  </w:num>
  <w:num w:numId="21" w16cid:durableId="369494552">
    <w:abstractNumId w:val="9"/>
  </w:num>
  <w:num w:numId="22" w16cid:durableId="1860460206">
    <w:abstractNumId w:val="6"/>
  </w:num>
  <w:num w:numId="23" w16cid:durableId="919364629">
    <w:abstractNumId w:val="32"/>
  </w:num>
  <w:num w:numId="24" w16cid:durableId="1292176546">
    <w:abstractNumId w:val="16"/>
  </w:num>
  <w:num w:numId="25" w16cid:durableId="2059428139">
    <w:abstractNumId w:val="28"/>
  </w:num>
  <w:num w:numId="26" w16cid:durableId="710226646">
    <w:abstractNumId w:val="0"/>
  </w:num>
  <w:num w:numId="27" w16cid:durableId="478422410">
    <w:abstractNumId w:val="13"/>
  </w:num>
  <w:num w:numId="28" w16cid:durableId="1568960014">
    <w:abstractNumId w:val="20"/>
  </w:num>
  <w:num w:numId="29" w16cid:durableId="833454069">
    <w:abstractNumId w:val="41"/>
  </w:num>
  <w:num w:numId="30" w16cid:durableId="2061324306">
    <w:abstractNumId w:val="44"/>
  </w:num>
  <w:num w:numId="31" w16cid:durableId="1427116279">
    <w:abstractNumId w:val="47"/>
  </w:num>
  <w:num w:numId="32" w16cid:durableId="797377885">
    <w:abstractNumId w:val="5"/>
  </w:num>
  <w:num w:numId="33" w16cid:durableId="1777865195">
    <w:abstractNumId w:val="27"/>
  </w:num>
  <w:num w:numId="34" w16cid:durableId="1166937660">
    <w:abstractNumId w:val="25"/>
  </w:num>
  <w:num w:numId="35" w16cid:durableId="818232644">
    <w:abstractNumId w:val="8"/>
  </w:num>
  <w:num w:numId="36" w16cid:durableId="1885479400">
    <w:abstractNumId w:val="34"/>
  </w:num>
  <w:num w:numId="37" w16cid:durableId="521288819">
    <w:abstractNumId w:val="10"/>
  </w:num>
  <w:num w:numId="38" w16cid:durableId="761224997">
    <w:abstractNumId w:val="45"/>
  </w:num>
  <w:num w:numId="39" w16cid:durableId="2094468365">
    <w:abstractNumId w:val="11"/>
  </w:num>
  <w:num w:numId="40" w16cid:durableId="258948998">
    <w:abstractNumId w:val="18"/>
  </w:num>
  <w:num w:numId="41" w16cid:durableId="1557663881">
    <w:abstractNumId w:val="2"/>
  </w:num>
  <w:num w:numId="42" w16cid:durableId="1050036080">
    <w:abstractNumId w:val="33"/>
  </w:num>
  <w:num w:numId="43" w16cid:durableId="1078016795">
    <w:abstractNumId w:val="40"/>
  </w:num>
  <w:num w:numId="44" w16cid:durableId="211616676">
    <w:abstractNumId w:val="26"/>
  </w:num>
  <w:num w:numId="45" w16cid:durableId="718021101">
    <w:abstractNumId w:val="12"/>
  </w:num>
  <w:num w:numId="46" w16cid:durableId="1147164543">
    <w:abstractNumId w:val="42"/>
  </w:num>
  <w:num w:numId="47" w16cid:durableId="166485145">
    <w:abstractNumId w:val="30"/>
  </w:num>
  <w:num w:numId="48" w16cid:durableId="172991217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64FANm7g3ctAAAA"/>
  </w:docVars>
  <w:rsids>
    <w:rsidRoot w:val="00B87FBC"/>
    <w:rsid w:val="00000530"/>
    <w:rsid w:val="0000069E"/>
    <w:rsid w:val="00000E94"/>
    <w:rsid w:val="000011D6"/>
    <w:rsid w:val="000014EA"/>
    <w:rsid w:val="00001C46"/>
    <w:rsid w:val="00001FF5"/>
    <w:rsid w:val="00002134"/>
    <w:rsid w:val="000026E5"/>
    <w:rsid w:val="00002AFC"/>
    <w:rsid w:val="0000314A"/>
    <w:rsid w:val="0000333F"/>
    <w:rsid w:val="00003886"/>
    <w:rsid w:val="000039A7"/>
    <w:rsid w:val="00003B10"/>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1BC"/>
    <w:rsid w:val="000063A7"/>
    <w:rsid w:val="000065F8"/>
    <w:rsid w:val="0000694F"/>
    <w:rsid w:val="000069B3"/>
    <w:rsid w:val="00007645"/>
    <w:rsid w:val="000076DF"/>
    <w:rsid w:val="00007874"/>
    <w:rsid w:val="00007D4D"/>
    <w:rsid w:val="00007F65"/>
    <w:rsid w:val="0001068D"/>
    <w:rsid w:val="00010791"/>
    <w:rsid w:val="0001080B"/>
    <w:rsid w:val="00010D3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3CE3"/>
    <w:rsid w:val="0001432A"/>
    <w:rsid w:val="00014BCC"/>
    <w:rsid w:val="00014D04"/>
    <w:rsid w:val="00015788"/>
    <w:rsid w:val="00015A87"/>
    <w:rsid w:val="00015C65"/>
    <w:rsid w:val="00015CF3"/>
    <w:rsid w:val="00015F6F"/>
    <w:rsid w:val="00016164"/>
    <w:rsid w:val="00016AC6"/>
    <w:rsid w:val="000174AD"/>
    <w:rsid w:val="0001755E"/>
    <w:rsid w:val="000179CD"/>
    <w:rsid w:val="00017BA4"/>
    <w:rsid w:val="00017E64"/>
    <w:rsid w:val="00017F49"/>
    <w:rsid w:val="000208A6"/>
    <w:rsid w:val="00020A0A"/>
    <w:rsid w:val="00020A1C"/>
    <w:rsid w:val="00020E7B"/>
    <w:rsid w:val="000216BF"/>
    <w:rsid w:val="0002195F"/>
    <w:rsid w:val="00021B1B"/>
    <w:rsid w:val="00021C03"/>
    <w:rsid w:val="00022A7D"/>
    <w:rsid w:val="00022CC1"/>
    <w:rsid w:val="000230A5"/>
    <w:rsid w:val="00023C3B"/>
    <w:rsid w:val="000241CB"/>
    <w:rsid w:val="000247C2"/>
    <w:rsid w:val="00024BDF"/>
    <w:rsid w:val="00024FC4"/>
    <w:rsid w:val="000250AB"/>
    <w:rsid w:val="000251E7"/>
    <w:rsid w:val="0002552A"/>
    <w:rsid w:val="0002560B"/>
    <w:rsid w:val="00025890"/>
    <w:rsid w:val="00025A64"/>
    <w:rsid w:val="000260C1"/>
    <w:rsid w:val="00026364"/>
    <w:rsid w:val="00026636"/>
    <w:rsid w:val="00026CA8"/>
    <w:rsid w:val="000270A0"/>
    <w:rsid w:val="0002752C"/>
    <w:rsid w:val="0002754F"/>
    <w:rsid w:val="00027B2F"/>
    <w:rsid w:val="00030815"/>
    <w:rsid w:val="00030BD6"/>
    <w:rsid w:val="00030DFC"/>
    <w:rsid w:val="00030F28"/>
    <w:rsid w:val="00032516"/>
    <w:rsid w:val="0003259F"/>
    <w:rsid w:val="000325F7"/>
    <w:rsid w:val="00032945"/>
    <w:rsid w:val="00032EDC"/>
    <w:rsid w:val="00033048"/>
    <w:rsid w:val="00033132"/>
    <w:rsid w:val="0003350D"/>
    <w:rsid w:val="0003361F"/>
    <w:rsid w:val="00033872"/>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EF8"/>
    <w:rsid w:val="00045F5C"/>
    <w:rsid w:val="00046E97"/>
    <w:rsid w:val="00047398"/>
    <w:rsid w:val="00047423"/>
    <w:rsid w:val="000478EF"/>
    <w:rsid w:val="00047D75"/>
    <w:rsid w:val="00047FD1"/>
    <w:rsid w:val="00050663"/>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4845"/>
    <w:rsid w:val="0005545B"/>
    <w:rsid w:val="00055966"/>
    <w:rsid w:val="000559D2"/>
    <w:rsid w:val="00055A42"/>
    <w:rsid w:val="00055E49"/>
    <w:rsid w:val="00056098"/>
    <w:rsid w:val="00056345"/>
    <w:rsid w:val="00056811"/>
    <w:rsid w:val="00056A4B"/>
    <w:rsid w:val="00056DD5"/>
    <w:rsid w:val="00056F1C"/>
    <w:rsid w:val="00056F8D"/>
    <w:rsid w:val="00057375"/>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7E2"/>
    <w:rsid w:val="0006512F"/>
    <w:rsid w:val="000653FE"/>
    <w:rsid w:val="00065407"/>
    <w:rsid w:val="000658F2"/>
    <w:rsid w:val="00065AFC"/>
    <w:rsid w:val="0006633A"/>
    <w:rsid w:val="00066D0B"/>
    <w:rsid w:val="00066EFF"/>
    <w:rsid w:val="00066F17"/>
    <w:rsid w:val="00066FC8"/>
    <w:rsid w:val="00067739"/>
    <w:rsid w:val="00067C74"/>
    <w:rsid w:val="00067D9C"/>
    <w:rsid w:val="00070684"/>
    <w:rsid w:val="000709F8"/>
    <w:rsid w:val="00070FAC"/>
    <w:rsid w:val="000710A9"/>
    <w:rsid w:val="0007147A"/>
    <w:rsid w:val="00071621"/>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BF"/>
    <w:rsid w:val="00075FDA"/>
    <w:rsid w:val="00076367"/>
    <w:rsid w:val="0007680E"/>
    <w:rsid w:val="00076A2B"/>
    <w:rsid w:val="00076C31"/>
    <w:rsid w:val="00076E3A"/>
    <w:rsid w:val="00076F8A"/>
    <w:rsid w:val="000772B2"/>
    <w:rsid w:val="0007778A"/>
    <w:rsid w:val="00077878"/>
    <w:rsid w:val="00077BE5"/>
    <w:rsid w:val="00077C76"/>
    <w:rsid w:val="00077D5A"/>
    <w:rsid w:val="00077DB2"/>
    <w:rsid w:val="00080027"/>
    <w:rsid w:val="00080459"/>
    <w:rsid w:val="000804E1"/>
    <w:rsid w:val="00080FF6"/>
    <w:rsid w:val="000810A7"/>
    <w:rsid w:val="000813E4"/>
    <w:rsid w:val="00081472"/>
    <w:rsid w:val="00081532"/>
    <w:rsid w:val="000816D8"/>
    <w:rsid w:val="000817D8"/>
    <w:rsid w:val="00081B5B"/>
    <w:rsid w:val="00081CD2"/>
    <w:rsid w:val="00081D48"/>
    <w:rsid w:val="0008210E"/>
    <w:rsid w:val="000828F2"/>
    <w:rsid w:val="00082927"/>
    <w:rsid w:val="00082955"/>
    <w:rsid w:val="00082AB1"/>
    <w:rsid w:val="00082B21"/>
    <w:rsid w:val="00082CDB"/>
    <w:rsid w:val="00082DEA"/>
    <w:rsid w:val="00082EA1"/>
    <w:rsid w:val="00082FF0"/>
    <w:rsid w:val="0008307C"/>
    <w:rsid w:val="0008308B"/>
    <w:rsid w:val="000831D2"/>
    <w:rsid w:val="00083588"/>
    <w:rsid w:val="000835B5"/>
    <w:rsid w:val="000836AC"/>
    <w:rsid w:val="000838E0"/>
    <w:rsid w:val="00083A94"/>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797"/>
    <w:rsid w:val="0009096A"/>
    <w:rsid w:val="0009098E"/>
    <w:rsid w:val="000909CB"/>
    <w:rsid w:val="00090F7A"/>
    <w:rsid w:val="00090FD2"/>
    <w:rsid w:val="00091C53"/>
    <w:rsid w:val="00091C8C"/>
    <w:rsid w:val="00091E3C"/>
    <w:rsid w:val="00091EFF"/>
    <w:rsid w:val="000921EC"/>
    <w:rsid w:val="0009234A"/>
    <w:rsid w:val="00092852"/>
    <w:rsid w:val="00092A01"/>
    <w:rsid w:val="000931F0"/>
    <w:rsid w:val="0009327A"/>
    <w:rsid w:val="00093374"/>
    <w:rsid w:val="00093557"/>
    <w:rsid w:val="0009406D"/>
    <w:rsid w:val="0009436F"/>
    <w:rsid w:val="000943F7"/>
    <w:rsid w:val="00094600"/>
    <w:rsid w:val="00094A66"/>
    <w:rsid w:val="00094B3C"/>
    <w:rsid w:val="00094CDC"/>
    <w:rsid w:val="00095090"/>
    <w:rsid w:val="000951E0"/>
    <w:rsid w:val="00095889"/>
    <w:rsid w:val="00095BC8"/>
    <w:rsid w:val="00095EA6"/>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7DB"/>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BFE"/>
    <w:rsid w:val="000A5C78"/>
    <w:rsid w:val="000A5E0C"/>
    <w:rsid w:val="000A62A4"/>
    <w:rsid w:val="000A6B4F"/>
    <w:rsid w:val="000A6BF8"/>
    <w:rsid w:val="000A719C"/>
    <w:rsid w:val="000A7B34"/>
    <w:rsid w:val="000A7C1B"/>
    <w:rsid w:val="000B05FB"/>
    <w:rsid w:val="000B0969"/>
    <w:rsid w:val="000B15E4"/>
    <w:rsid w:val="000B17B6"/>
    <w:rsid w:val="000B17FB"/>
    <w:rsid w:val="000B1C22"/>
    <w:rsid w:val="000B20B9"/>
    <w:rsid w:val="000B2546"/>
    <w:rsid w:val="000B2F47"/>
    <w:rsid w:val="000B3216"/>
    <w:rsid w:val="000B3390"/>
    <w:rsid w:val="000B33C5"/>
    <w:rsid w:val="000B33C6"/>
    <w:rsid w:val="000B36EE"/>
    <w:rsid w:val="000B38F9"/>
    <w:rsid w:val="000B3E49"/>
    <w:rsid w:val="000B3F5F"/>
    <w:rsid w:val="000B40D1"/>
    <w:rsid w:val="000B4A87"/>
    <w:rsid w:val="000B4DD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288"/>
    <w:rsid w:val="000C491C"/>
    <w:rsid w:val="000C4D73"/>
    <w:rsid w:val="000C515A"/>
    <w:rsid w:val="000C5424"/>
    <w:rsid w:val="000C5832"/>
    <w:rsid w:val="000C588B"/>
    <w:rsid w:val="000C5CF4"/>
    <w:rsid w:val="000C65AB"/>
    <w:rsid w:val="000C66F3"/>
    <w:rsid w:val="000C70FF"/>
    <w:rsid w:val="000D09AE"/>
    <w:rsid w:val="000D0F18"/>
    <w:rsid w:val="000D12A9"/>
    <w:rsid w:val="000D13EC"/>
    <w:rsid w:val="000D1505"/>
    <w:rsid w:val="000D1D7C"/>
    <w:rsid w:val="000D1E97"/>
    <w:rsid w:val="000D22E6"/>
    <w:rsid w:val="000D2554"/>
    <w:rsid w:val="000D284E"/>
    <w:rsid w:val="000D2A62"/>
    <w:rsid w:val="000D3057"/>
    <w:rsid w:val="000D30E4"/>
    <w:rsid w:val="000D3112"/>
    <w:rsid w:val="000D35A2"/>
    <w:rsid w:val="000D360C"/>
    <w:rsid w:val="000D39CB"/>
    <w:rsid w:val="000D3A53"/>
    <w:rsid w:val="000D3B24"/>
    <w:rsid w:val="000D3C4D"/>
    <w:rsid w:val="000D3D7F"/>
    <w:rsid w:val="000D3EF4"/>
    <w:rsid w:val="000D4611"/>
    <w:rsid w:val="000D52EF"/>
    <w:rsid w:val="000D5391"/>
    <w:rsid w:val="000D5EB0"/>
    <w:rsid w:val="000D60D3"/>
    <w:rsid w:val="000D6312"/>
    <w:rsid w:val="000D6799"/>
    <w:rsid w:val="000D68A5"/>
    <w:rsid w:val="000D6D92"/>
    <w:rsid w:val="000D7054"/>
    <w:rsid w:val="000D7BE9"/>
    <w:rsid w:val="000E009F"/>
    <w:rsid w:val="000E0638"/>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8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4E3F"/>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262"/>
    <w:rsid w:val="001013C0"/>
    <w:rsid w:val="001013FA"/>
    <w:rsid w:val="001014D1"/>
    <w:rsid w:val="001017CA"/>
    <w:rsid w:val="00101B71"/>
    <w:rsid w:val="00101BDA"/>
    <w:rsid w:val="00101C22"/>
    <w:rsid w:val="00101DEC"/>
    <w:rsid w:val="00102497"/>
    <w:rsid w:val="00102606"/>
    <w:rsid w:val="00102B86"/>
    <w:rsid w:val="00102BA1"/>
    <w:rsid w:val="00102D72"/>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8A0"/>
    <w:rsid w:val="00106BC9"/>
    <w:rsid w:val="00106F64"/>
    <w:rsid w:val="0010706D"/>
    <w:rsid w:val="00107304"/>
    <w:rsid w:val="00107700"/>
    <w:rsid w:val="001109E6"/>
    <w:rsid w:val="00111215"/>
    <w:rsid w:val="001113AF"/>
    <w:rsid w:val="001114A3"/>
    <w:rsid w:val="00111719"/>
    <w:rsid w:val="00111AEB"/>
    <w:rsid w:val="00111D79"/>
    <w:rsid w:val="001120FC"/>
    <w:rsid w:val="001128A8"/>
    <w:rsid w:val="00112A87"/>
    <w:rsid w:val="00112C57"/>
    <w:rsid w:val="00112D2A"/>
    <w:rsid w:val="00112F21"/>
    <w:rsid w:val="00112FA6"/>
    <w:rsid w:val="0011300A"/>
    <w:rsid w:val="0011322D"/>
    <w:rsid w:val="00113355"/>
    <w:rsid w:val="001135BA"/>
    <w:rsid w:val="00113705"/>
    <w:rsid w:val="001137BB"/>
    <w:rsid w:val="001138F6"/>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18E"/>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1F2"/>
    <w:rsid w:val="001326B7"/>
    <w:rsid w:val="00132A4B"/>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A14"/>
    <w:rsid w:val="00142ED4"/>
    <w:rsid w:val="0014342B"/>
    <w:rsid w:val="00143B64"/>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0A9"/>
    <w:rsid w:val="0015312D"/>
    <w:rsid w:val="00153307"/>
    <w:rsid w:val="00153669"/>
    <w:rsid w:val="00153683"/>
    <w:rsid w:val="001536E3"/>
    <w:rsid w:val="00153B22"/>
    <w:rsid w:val="00153F35"/>
    <w:rsid w:val="00154789"/>
    <w:rsid w:val="00154F45"/>
    <w:rsid w:val="00155018"/>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2A8"/>
    <w:rsid w:val="00161311"/>
    <w:rsid w:val="00161503"/>
    <w:rsid w:val="00161DC1"/>
    <w:rsid w:val="00161E3E"/>
    <w:rsid w:val="00161E41"/>
    <w:rsid w:val="001622BC"/>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9F1"/>
    <w:rsid w:val="00181A77"/>
    <w:rsid w:val="001822E7"/>
    <w:rsid w:val="0018294E"/>
    <w:rsid w:val="001829FA"/>
    <w:rsid w:val="0018302F"/>
    <w:rsid w:val="00183397"/>
    <w:rsid w:val="00183438"/>
    <w:rsid w:val="00183510"/>
    <w:rsid w:val="001836B6"/>
    <w:rsid w:val="0018370D"/>
    <w:rsid w:val="00183C8D"/>
    <w:rsid w:val="00184249"/>
    <w:rsid w:val="00184271"/>
    <w:rsid w:val="00184712"/>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124"/>
    <w:rsid w:val="0019144F"/>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5F54"/>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B1C"/>
    <w:rsid w:val="001A2C5C"/>
    <w:rsid w:val="001A2E27"/>
    <w:rsid w:val="001A3353"/>
    <w:rsid w:val="001A362D"/>
    <w:rsid w:val="001A36B9"/>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4AE9"/>
    <w:rsid w:val="001B51AA"/>
    <w:rsid w:val="001B55FC"/>
    <w:rsid w:val="001B5832"/>
    <w:rsid w:val="001B5A8D"/>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285"/>
    <w:rsid w:val="001C19D8"/>
    <w:rsid w:val="001C1A97"/>
    <w:rsid w:val="001C22F0"/>
    <w:rsid w:val="001C235F"/>
    <w:rsid w:val="001C2710"/>
    <w:rsid w:val="001C2F2B"/>
    <w:rsid w:val="001C39EB"/>
    <w:rsid w:val="001C3D68"/>
    <w:rsid w:val="001C3DE9"/>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BD"/>
    <w:rsid w:val="001D0DD1"/>
    <w:rsid w:val="001D1266"/>
    <w:rsid w:val="001D155F"/>
    <w:rsid w:val="001D229D"/>
    <w:rsid w:val="001D252E"/>
    <w:rsid w:val="001D2A2B"/>
    <w:rsid w:val="001D3507"/>
    <w:rsid w:val="001D363E"/>
    <w:rsid w:val="001D3797"/>
    <w:rsid w:val="001D3CC4"/>
    <w:rsid w:val="001D4BC5"/>
    <w:rsid w:val="001D4C80"/>
    <w:rsid w:val="001D5C94"/>
    <w:rsid w:val="001D68BE"/>
    <w:rsid w:val="001D6A1D"/>
    <w:rsid w:val="001D6C50"/>
    <w:rsid w:val="001D6E2D"/>
    <w:rsid w:val="001D6F11"/>
    <w:rsid w:val="001D72F6"/>
    <w:rsid w:val="001D74FE"/>
    <w:rsid w:val="001D751B"/>
    <w:rsid w:val="001D7536"/>
    <w:rsid w:val="001D767E"/>
    <w:rsid w:val="001D79DE"/>
    <w:rsid w:val="001E0825"/>
    <w:rsid w:val="001E085D"/>
    <w:rsid w:val="001E0D51"/>
    <w:rsid w:val="001E1051"/>
    <w:rsid w:val="001E13A5"/>
    <w:rsid w:val="001E1FDD"/>
    <w:rsid w:val="001E2763"/>
    <w:rsid w:val="001E27FE"/>
    <w:rsid w:val="001E2B65"/>
    <w:rsid w:val="001E2D46"/>
    <w:rsid w:val="001E2F8C"/>
    <w:rsid w:val="001E3504"/>
    <w:rsid w:val="001E3ADE"/>
    <w:rsid w:val="001E3B2D"/>
    <w:rsid w:val="001E3C84"/>
    <w:rsid w:val="001E4190"/>
    <w:rsid w:val="001E43E1"/>
    <w:rsid w:val="001E44AD"/>
    <w:rsid w:val="001E44F5"/>
    <w:rsid w:val="001E4547"/>
    <w:rsid w:val="001E4943"/>
    <w:rsid w:val="001E4EB7"/>
    <w:rsid w:val="001E59F8"/>
    <w:rsid w:val="001E5AEE"/>
    <w:rsid w:val="001E5DE6"/>
    <w:rsid w:val="001E5EF9"/>
    <w:rsid w:val="001E63EC"/>
    <w:rsid w:val="001E64DE"/>
    <w:rsid w:val="001E662B"/>
    <w:rsid w:val="001E66DC"/>
    <w:rsid w:val="001E68B6"/>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85"/>
    <w:rsid w:val="001F23E4"/>
    <w:rsid w:val="001F2EBF"/>
    <w:rsid w:val="001F334D"/>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7B2"/>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C7C"/>
    <w:rsid w:val="00215FC7"/>
    <w:rsid w:val="00216096"/>
    <w:rsid w:val="00216281"/>
    <w:rsid w:val="002164CD"/>
    <w:rsid w:val="00216687"/>
    <w:rsid w:val="00216737"/>
    <w:rsid w:val="0021696C"/>
    <w:rsid w:val="00216ADF"/>
    <w:rsid w:val="00216DC0"/>
    <w:rsid w:val="002179B9"/>
    <w:rsid w:val="002179E1"/>
    <w:rsid w:val="00217A05"/>
    <w:rsid w:val="00217AE5"/>
    <w:rsid w:val="00217BD0"/>
    <w:rsid w:val="00217BD1"/>
    <w:rsid w:val="00220722"/>
    <w:rsid w:val="00220DAD"/>
    <w:rsid w:val="002210AB"/>
    <w:rsid w:val="002210AD"/>
    <w:rsid w:val="002210E7"/>
    <w:rsid w:val="002214C5"/>
    <w:rsid w:val="00221AE3"/>
    <w:rsid w:val="00221BCD"/>
    <w:rsid w:val="00221D1E"/>
    <w:rsid w:val="00221F3B"/>
    <w:rsid w:val="00222178"/>
    <w:rsid w:val="00222488"/>
    <w:rsid w:val="00222AEC"/>
    <w:rsid w:val="00222B25"/>
    <w:rsid w:val="00222F65"/>
    <w:rsid w:val="002230CF"/>
    <w:rsid w:val="002238CC"/>
    <w:rsid w:val="002239A5"/>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996"/>
    <w:rsid w:val="00231E3A"/>
    <w:rsid w:val="0023222B"/>
    <w:rsid w:val="002322EE"/>
    <w:rsid w:val="0023247D"/>
    <w:rsid w:val="002342DD"/>
    <w:rsid w:val="002344A0"/>
    <w:rsid w:val="00234534"/>
    <w:rsid w:val="00234ABA"/>
    <w:rsid w:val="00234AC7"/>
    <w:rsid w:val="00234B22"/>
    <w:rsid w:val="002352F4"/>
    <w:rsid w:val="00235544"/>
    <w:rsid w:val="00235763"/>
    <w:rsid w:val="002359C6"/>
    <w:rsid w:val="002360D0"/>
    <w:rsid w:val="002361CA"/>
    <w:rsid w:val="0023652F"/>
    <w:rsid w:val="00236AA7"/>
    <w:rsid w:val="00236ADC"/>
    <w:rsid w:val="00236B8F"/>
    <w:rsid w:val="00236DED"/>
    <w:rsid w:val="00236E84"/>
    <w:rsid w:val="002376AA"/>
    <w:rsid w:val="00237FC9"/>
    <w:rsid w:val="00240150"/>
    <w:rsid w:val="002403AB"/>
    <w:rsid w:val="00240B27"/>
    <w:rsid w:val="00240E43"/>
    <w:rsid w:val="00240E56"/>
    <w:rsid w:val="00240F9D"/>
    <w:rsid w:val="002412BF"/>
    <w:rsid w:val="00241615"/>
    <w:rsid w:val="00241966"/>
    <w:rsid w:val="00241C61"/>
    <w:rsid w:val="00241EA1"/>
    <w:rsid w:val="002421B4"/>
    <w:rsid w:val="0024238E"/>
    <w:rsid w:val="002427BF"/>
    <w:rsid w:val="0024358C"/>
    <w:rsid w:val="00243F28"/>
    <w:rsid w:val="00243F52"/>
    <w:rsid w:val="00244212"/>
    <w:rsid w:val="00244380"/>
    <w:rsid w:val="00244A81"/>
    <w:rsid w:val="00244DD6"/>
    <w:rsid w:val="00244F9C"/>
    <w:rsid w:val="002457C9"/>
    <w:rsid w:val="002459BE"/>
    <w:rsid w:val="00245CEC"/>
    <w:rsid w:val="00245F1A"/>
    <w:rsid w:val="00245FD2"/>
    <w:rsid w:val="002462B6"/>
    <w:rsid w:val="00246637"/>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5401"/>
    <w:rsid w:val="00255A14"/>
    <w:rsid w:val="00256418"/>
    <w:rsid w:val="002569F5"/>
    <w:rsid w:val="00256B58"/>
    <w:rsid w:val="002572EA"/>
    <w:rsid w:val="002573BB"/>
    <w:rsid w:val="0025780D"/>
    <w:rsid w:val="00257C26"/>
    <w:rsid w:val="0026096E"/>
    <w:rsid w:val="002609BD"/>
    <w:rsid w:val="00260DC3"/>
    <w:rsid w:val="00261314"/>
    <w:rsid w:val="0026150F"/>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67DC4"/>
    <w:rsid w:val="002701A0"/>
    <w:rsid w:val="00270396"/>
    <w:rsid w:val="002706BE"/>
    <w:rsid w:val="00270EDE"/>
    <w:rsid w:val="00271090"/>
    <w:rsid w:val="00271179"/>
    <w:rsid w:val="0027121D"/>
    <w:rsid w:val="002717A3"/>
    <w:rsid w:val="00271BA3"/>
    <w:rsid w:val="00271C5C"/>
    <w:rsid w:val="00271D2A"/>
    <w:rsid w:val="002721A3"/>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1CB"/>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C63"/>
    <w:rsid w:val="00283D10"/>
    <w:rsid w:val="00283D4A"/>
    <w:rsid w:val="00284134"/>
    <w:rsid w:val="00284950"/>
    <w:rsid w:val="00284BCE"/>
    <w:rsid w:val="00284D1E"/>
    <w:rsid w:val="00285282"/>
    <w:rsid w:val="00285284"/>
    <w:rsid w:val="00285510"/>
    <w:rsid w:val="00285E11"/>
    <w:rsid w:val="00285FB5"/>
    <w:rsid w:val="00286445"/>
    <w:rsid w:val="00286558"/>
    <w:rsid w:val="0028660E"/>
    <w:rsid w:val="0028661E"/>
    <w:rsid w:val="00286779"/>
    <w:rsid w:val="002868C8"/>
    <w:rsid w:val="002871E0"/>
    <w:rsid w:val="00287506"/>
    <w:rsid w:val="00287E11"/>
    <w:rsid w:val="00290020"/>
    <w:rsid w:val="00290381"/>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4EC"/>
    <w:rsid w:val="00295560"/>
    <w:rsid w:val="0029561E"/>
    <w:rsid w:val="00295827"/>
    <w:rsid w:val="0029605A"/>
    <w:rsid w:val="00296077"/>
    <w:rsid w:val="0029622D"/>
    <w:rsid w:val="002964FF"/>
    <w:rsid w:val="00297314"/>
    <w:rsid w:val="002974BF"/>
    <w:rsid w:val="002978A5"/>
    <w:rsid w:val="00297D26"/>
    <w:rsid w:val="002A0255"/>
    <w:rsid w:val="002A04D2"/>
    <w:rsid w:val="002A0E29"/>
    <w:rsid w:val="002A1095"/>
    <w:rsid w:val="002A11EE"/>
    <w:rsid w:val="002A1BF8"/>
    <w:rsid w:val="002A1CAD"/>
    <w:rsid w:val="002A2187"/>
    <w:rsid w:val="002A22A1"/>
    <w:rsid w:val="002A2461"/>
    <w:rsid w:val="002A3170"/>
    <w:rsid w:val="002A339C"/>
    <w:rsid w:val="002A3702"/>
    <w:rsid w:val="002A39F2"/>
    <w:rsid w:val="002A3ABA"/>
    <w:rsid w:val="002A44E2"/>
    <w:rsid w:val="002A45D8"/>
    <w:rsid w:val="002A4B57"/>
    <w:rsid w:val="002A4CC5"/>
    <w:rsid w:val="002A5032"/>
    <w:rsid w:val="002A5263"/>
    <w:rsid w:val="002A57FA"/>
    <w:rsid w:val="002A5B4E"/>
    <w:rsid w:val="002A647B"/>
    <w:rsid w:val="002A6894"/>
    <w:rsid w:val="002A6D2B"/>
    <w:rsid w:val="002A6E65"/>
    <w:rsid w:val="002A79B0"/>
    <w:rsid w:val="002A7A8C"/>
    <w:rsid w:val="002B0238"/>
    <w:rsid w:val="002B044E"/>
    <w:rsid w:val="002B0515"/>
    <w:rsid w:val="002B07FC"/>
    <w:rsid w:val="002B0F80"/>
    <w:rsid w:val="002B10F5"/>
    <w:rsid w:val="002B1111"/>
    <w:rsid w:val="002B1316"/>
    <w:rsid w:val="002B1B76"/>
    <w:rsid w:val="002B20F2"/>
    <w:rsid w:val="002B22D7"/>
    <w:rsid w:val="002B2D9C"/>
    <w:rsid w:val="002B2F28"/>
    <w:rsid w:val="002B3333"/>
    <w:rsid w:val="002B34D4"/>
    <w:rsid w:val="002B370D"/>
    <w:rsid w:val="002B3BC2"/>
    <w:rsid w:val="002B40B9"/>
    <w:rsid w:val="002B4AC8"/>
    <w:rsid w:val="002B4D65"/>
    <w:rsid w:val="002B5488"/>
    <w:rsid w:val="002B55B1"/>
    <w:rsid w:val="002B58D8"/>
    <w:rsid w:val="002B5965"/>
    <w:rsid w:val="002B5BD6"/>
    <w:rsid w:val="002B5DB0"/>
    <w:rsid w:val="002B605A"/>
    <w:rsid w:val="002B6928"/>
    <w:rsid w:val="002B6B19"/>
    <w:rsid w:val="002B7006"/>
    <w:rsid w:val="002B72A6"/>
    <w:rsid w:val="002B72C2"/>
    <w:rsid w:val="002B7860"/>
    <w:rsid w:val="002B7D11"/>
    <w:rsid w:val="002C0193"/>
    <w:rsid w:val="002C01B7"/>
    <w:rsid w:val="002C061B"/>
    <w:rsid w:val="002C09D3"/>
    <w:rsid w:val="002C1254"/>
    <w:rsid w:val="002C1378"/>
    <w:rsid w:val="002C153A"/>
    <w:rsid w:val="002C162B"/>
    <w:rsid w:val="002C198F"/>
    <w:rsid w:val="002C1B51"/>
    <w:rsid w:val="002C1FAE"/>
    <w:rsid w:val="002C1FF8"/>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7D2"/>
    <w:rsid w:val="002C78F7"/>
    <w:rsid w:val="002D06D6"/>
    <w:rsid w:val="002D078F"/>
    <w:rsid w:val="002D0F6C"/>
    <w:rsid w:val="002D0FE8"/>
    <w:rsid w:val="002D10CF"/>
    <w:rsid w:val="002D13BE"/>
    <w:rsid w:val="002D15A9"/>
    <w:rsid w:val="002D16FF"/>
    <w:rsid w:val="002D17A9"/>
    <w:rsid w:val="002D17AB"/>
    <w:rsid w:val="002D1A01"/>
    <w:rsid w:val="002D1E56"/>
    <w:rsid w:val="002D1F27"/>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5DC1"/>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1EA6"/>
    <w:rsid w:val="002E218C"/>
    <w:rsid w:val="002E288F"/>
    <w:rsid w:val="002E2967"/>
    <w:rsid w:val="002E31F2"/>
    <w:rsid w:val="002E4120"/>
    <w:rsid w:val="002E4224"/>
    <w:rsid w:val="002E4AB7"/>
    <w:rsid w:val="002E4D1F"/>
    <w:rsid w:val="002E508A"/>
    <w:rsid w:val="002E5175"/>
    <w:rsid w:val="002E56EC"/>
    <w:rsid w:val="002E5874"/>
    <w:rsid w:val="002E5949"/>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739"/>
    <w:rsid w:val="002F1D5D"/>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41E"/>
    <w:rsid w:val="003048F3"/>
    <w:rsid w:val="00304D2C"/>
    <w:rsid w:val="00304E2C"/>
    <w:rsid w:val="0030542F"/>
    <w:rsid w:val="00305899"/>
    <w:rsid w:val="00305BA2"/>
    <w:rsid w:val="00305C7B"/>
    <w:rsid w:val="00306108"/>
    <w:rsid w:val="00306521"/>
    <w:rsid w:val="003065CE"/>
    <w:rsid w:val="00306714"/>
    <w:rsid w:val="0030680B"/>
    <w:rsid w:val="00306BAC"/>
    <w:rsid w:val="003076DA"/>
    <w:rsid w:val="003078B6"/>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5FAA"/>
    <w:rsid w:val="00316082"/>
    <w:rsid w:val="00316464"/>
    <w:rsid w:val="0031657D"/>
    <w:rsid w:val="00316AC6"/>
    <w:rsid w:val="003172CA"/>
    <w:rsid w:val="003178FD"/>
    <w:rsid w:val="00317AF2"/>
    <w:rsid w:val="00317C34"/>
    <w:rsid w:val="00317DEF"/>
    <w:rsid w:val="00317FA5"/>
    <w:rsid w:val="003209F9"/>
    <w:rsid w:val="00320CAE"/>
    <w:rsid w:val="00320DEB"/>
    <w:rsid w:val="00320EB4"/>
    <w:rsid w:val="003214E5"/>
    <w:rsid w:val="00321776"/>
    <w:rsid w:val="00321A15"/>
    <w:rsid w:val="00321B7D"/>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342"/>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B1C"/>
    <w:rsid w:val="00332C40"/>
    <w:rsid w:val="00332DB3"/>
    <w:rsid w:val="00333608"/>
    <w:rsid w:val="0033414E"/>
    <w:rsid w:val="00334162"/>
    <w:rsid w:val="003350C5"/>
    <w:rsid w:val="00335323"/>
    <w:rsid w:val="003356DE"/>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1AFD"/>
    <w:rsid w:val="003421CA"/>
    <w:rsid w:val="00342200"/>
    <w:rsid w:val="003422F4"/>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523"/>
    <w:rsid w:val="003468F6"/>
    <w:rsid w:val="00346C9B"/>
    <w:rsid w:val="00346CFA"/>
    <w:rsid w:val="00347080"/>
    <w:rsid w:val="00347253"/>
    <w:rsid w:val="003473DD"/>
    <w:rsid w:val="003476D4"/>
    <w:rsid w:val="00347805"/>
    <w:rsid w:val="00347B40"/>
    <w:rsid w:val="00350628"/>
    <w:rsid w:val="00350BB9"/>
    <w:rsid w:val="00350DA9"/>
    <w:rsid w:val="0035104A"/>
    <w:rsid w:val="00351265"/>
    <w:rsid w:val="0035183E"/>
    <w:rsid w:val="00351AF5"/>
    <w:rsid w:val="00351B3E"/>
    <w:rsid w:val="00351BC6"/>
    <w:rsid w:val="00351DD3"/>
    <w:rsid w:val="00351FD5"/>
    <w:rsid w:val="00352C3E"/>
    <w:rsid w:val="00353048"/>
    <w:rsid w:val="003533B6"/>
    <w:rsid w:val="0035347E"/>
    <w:rsid w:val="00353623"/>
    <w:rsid w:val="003536ED"/>
    <w:rsid w:val="0035372B"/>
    <w:rsid w:val="003538E6"/>
    <w:rsid w:val="003543CC"/>
    <w:rsid w:val="003544AE"/>
    <w:rsid w:val="003544BD"/>
    <w:rsid w:val="003548F9"/>
    <w:rsid w:val="00355836"/>
    <w:rsid w:val="00355BC7"/>
    <w:rsid w:val="00355D8D"/>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48E"/>
    <w:rsid w:val="00367E11"/>
    <w:rsid w:val="0037056B"/>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4EBE"/>
    <w:rsid w:val="0037540A"/>
    <w:rsid w:val="00375F0A"/>
    <w:rsid w:val="00376342"/>
    <w:rsid w:val="003763B9"/>
    <w:rsid w:val="003767FE"/>
    <w:rsid w:val="00376AD4"/>
    <w:rsid w:val="00376F02"/>
    <w:rsid w:val="0037711F"/>
    <w:rsid w:val="003771A5"/>
    <w:rsid w:val="0037751C"/>
    <w:rsid w:val="00377578"/>
    <w:rsid w:val="00377CD0"/>
    <w:rsid w:val="00377CDF"/>
    <w:rsid w:val="0038069C"/>
    <w:rsid w:val="00380C00"/>
    <w:rsid w:val="00380C4C"/>
    <w:rsid w:val="00380F35"/>
    <w:rsid w:val="0038119D"/>
    <w:rsid w:val="003817C3"/>
    <w:rsid w:val="00381F69"/>
    <w:rsid w:val="00382699"/>
    <w:rsid w:val="00382A96"/>
    <w:rsid w:val="00382EBB"/>
    <w:rsid w:val="00383475"/>
    <w:rsid w:val="003835FA"/>
    <w:rsid w:val="003839E6"/>
    <w:rsid w:val="00384CFE"/>
    <w:rsid w:val="00384F95"/>
    <w:rsid w:val="003853FA"/>
    <w:rsid w:val="003860D2"/>
    <w:rsid w:val="003865FF"/>
    <w:rsid w:val="00386944"/>
    <w:rsid w:val="00386AC7"/>
    <w:rsid w:val="00386C50"/>
    <w:rsid w:val="00386D04"/>
    <w:rsid w:val="00386D1C"/>
    <w:rsid w:val="00386F02"/>
    <w:rsid w:val="00386F59"/>
    <w:rsid w:val="003870EF"/>
    <w:rsid w:val="003871B2"/>
    <w:rsid w:val="0038772F"/>
    <w:rsid w:val="003877CD"/>
    <w:rsid w:val="003905B2"/>
    <w:rsid w:val="003906A2"/>
    <w:rsid w:val="00390B19"/>
    <w:rsid w:val="00390B26"/>
    <w:rsid w:val="00390C9F"/>
    <w:rsid w:val="00390CE6"/>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98F"/>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8FB"/>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966"/>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CCC"/>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5004"/>
    <w:rsid w:val="003C5158"/>
    <w:rsid w:val="003C5336"/>
    <w:rsid w:val="003C5670"/>
    <w:rsid w:val="003C570C"/>
    <w:rsid w:val="003C5913"/>
    <w:rsid w:val="003C5B55"/>
    <w:rsid w:val="003C5C1B"/>
    <w:rsid w:val="003C5D09"/>
    <w:rsid w:val="003C624A"/>
    <w:rsid w:val="003C6970"/>
    <w:rsid w:val="003C6D78"/>
    <w:rsid w:val="003C6FA5"/>
    <w:rsid w:val="003C6FA9"/>
    <w:rsid w:val="003C706D"/>
    <w:rsid w:val="003C70FA"/>
    <w:rsid w:val="003C75EC"/>
    <w:rsid w:val="003C7ED7"/>
    <w:rsid w:val="003C7FAD"/>
    <w:rsid w:val="003D0099"/>
    <w:rsid w:val="003D01FD"/>
    <w:rsid w:val="003D0362"/>
    <w:rsid w:val="003D049C"/>
    <w:rsid w:val="003D0A0C"/>
    <w:rsid w:val="003D0BCB"/>
    <w:rsid w:val="003D0C1F"/>
    <w:rsid w:val="003D17E0"/>
    <w:rsid w:val="003D19EF"/>
    <w:rsid w:val="003D1AAF"/>
    <w:rsid w:val="003D1AC5"/>
    <w:rsid w:val="003D2438"/>
    <w:rsid w:val="003D2926"/>
    <w:rsid w:val="003D3672"/>
    <w:rsid w:val="003D38C8"/>
    <w:rsid w:val="003D3B4F"/>
    <w:rsid w:val="003D3DFF"/>
    <w:rsid w:val="003D4483"/>
    <w:rsid w:val="003D45F8"/>
    <w:rsid w:val="003D485D"/>
    <w:rsid w:val="003D4FF1"/>
    <w:rsid w:val="003D5B2D"/>
    <w:rsid w:val="003D6081"/>
    <w:rsid w:val="003D62C0"/>
    <w:rsid w:val="003D630F"/>
    <w:rsid w:val="003D6E9F"/>
    <w:rsid w:val="003D7850"/>
    <w:rsid w:val="003D7DD5"/>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617"/>
    <w:rsid w:val="003E5948"/>
    <w:rsid w:val="003E5A23"/>
    <w:rsid w:val="003E5D89"/>
    <w:rsid w:val="003E5FF7"/>
    <w:rsid w:val="003E632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6F2F"/>
    <w:rsid w:val="003F7504"/>
    <w:rsid w:val="003F7812"/>
    <w:rsid w:val="003F7943"/>
    <w:rsid w:val="003F799F"/>
    <w:rsid w:val="003F7BCF"/>
    <w:rsid w:val="003F7C3A"/>
    <w:rsid w:val="004006C6"/>
    <w:rsid w:val="00400744"/>
    <w:rsid w:val="00400C31"/>
    <w:rsid w:val="00400E2A"/>
    <w:rsid w:val="00401249"/>
    <w:rsid w:val="004017D1"/>
    <w:rsid w:val="00401982"/>
    <w:rsid w:val="00401F5D"/>
    <w:rsid w:val="00401F5E"/>
    <w:rsid w:val="00402289"/>
    <w:rsid w:val="004025AB"/>
    <w:rsid w:val="00402645"/>
    <w:rsid w:val="00402B14"/>
    <w:rsid w:val="00402B3D"/>
    <w:rsid w:val="00402F8B"/>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6F8"/>
    <w:rsid w:val="004118ED"/>
    <w:rsid w:val="00411A42"/>
    <w:rsid w:val="00411B9D"/>
    <w:rsid w:val="0041251B"/>
    <w:rsid w:val="0041264E"/>
    <w:rsid w:val="0041294C"/>
    <w:rsid w:val="00412A5D"/>
    <w:rsid w:val="00412DD5"/>
    <w:rsid w:val="00412F1F"/>
    <w:rsid w:val="00412FCB"/>
    <w:rsid w:val="00413096"/>
    <w:rsid w:val="004131B5"/>
    <w:rsid w:val="00413383"/>
    <w:rsid w:val="0041344F"/>
    <w:rsid w:val="004137E5"/>
    <w:rsid w:val="00413BEE"/>
    <w:rsid w:val="00413C42"/>
    <w:rsid w:val="00413CDE"/>
    <w:rsid w:val="00413DAD"/>
    <w:rsid w:val="00413E1E"/>
    <w:rsid w:val="00413E9E"/>
    <w:rsid w:val="00413EF9"/>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0CB"/>
    <w:rsid w:val="004203AC"/>
    <w:rsid w:val="004209B9"/>
    <w:rsid w:val="00420BAA"/>
    <w:rsid w:val="00421071"/>
    <w:rsid w:val="00421298"/>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2B9"/>
    <w:rsid w:val="0042332F"/>
    <w:rsid w:val="004233C4"/>
    <w:rsid w:val="00423437"/>
    <w:rsid w:val="00423680"/>
    <w:rsid w:val="00423AC1"/>
    <w:rsid w:val="00423D1D"/>
    <w:rsid w:val="00423E65"/>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27FC3"/>
    <w:rsid w:val="004300E5"/>
    <w:rsid w:val="00430A8A"/>
    <w:rsid w:val="00430AA6"/>
    <w:rsid w:val="00430AA9"/>
    <w:rsid w:val="00430C98"/>
    <w:rsid w:val="0043144D"/>
    <w:rsid w:val="00431CAB"/>
    <w:rsid w:val="00431D36"/>
    <w:rsid w:val="00432803"/>
    <w:rsid w:val="00432AE4"/>
    <w:rsid w:val="00432AE7"/>
    <w:rsid w:val="00433186"/>
    <w:rsid w:val="00433E00"/>
    <w:rsid w:val="004344BA"/>
    <w:rsid w:val="004346BD"/>
    <w:rsid w:val="00434818"/>
    <w:rsid w:val="0043483C"/>
    <w:rsid w:val="004348BC"/>
    <w:rsid w:val="004348BF"/>
    <w:rsid w:val="00434AFC"/>
    <w:rsid w:val="00434D4D"/>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DAA"/>
    <w:rsid w:val="00444F2C"/>
    <w:rsid w:val="00445378"/>
    <w:rsid w:val="0044614B"/>
    <w:rsid w:val="004463B0"/>
    <w:rsid w:val="00446870"/>
    <w:rsid w:val="004476DC"/>
    <w:rsid w:val="00447826"/>
    <w:rsid w:val="00447F82"/>
    <w:rsid w:val="00450175"/>
    <w:rsid w:val="0045049F"/>
    <w:rsid w:val="004507BE"/>
    <w:rsid w:val="004507DD"/>
    <w:rsid w:val="00450AED"/>
    <w:rsid w:val="00450EB0"/>
    <w:rsid w:val="00451209"/>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A3E"/>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156"/>
    <w:rsid w:val="00457A4A"/>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3DEB"/>
    <w:rsid w:val="004646C3"/>
    <w:rsid w:val="0046483D"/>
    <w:rsid w:val="00464A10"/>
    <w:rsid w:val="00464C7A"/>
    <w:rsid w:val="004656A3"/>
    <w:rsid w:val="00465A22"/>
    <w:rsid w:val="00465B05"/>
    <w:rsid w:val="00465E8A"/>
    <w:rsid w:val="00466094"/>
    <w:rsid w:val="004662EB"/>
    <w:rsid w:val="00466457"/>
    <w:rsid w:val="004664E1"/>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7E0"/>
    <w:rsid w:val="00471C50"/>
    <w:rsid w:val="0047237D"/>
    <w:rsid w:val="0047247E"/>
    <w:rsid w:val="004724C4"/>
    <w:rsid w:val="0047317D"/>
    <w:rsid w:val="004739C0"/>
    <w:rsid w:val="00473B1A"/>
    <w:rsid w:val="00473E38"/>
    <w:rsid w:val="00474346"/>
    <w:rsid w:val="004743EB"/>
    <w:rsid w:val="00474777"/>
    <w:rsid w:val="0047483C"/>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946"/>
    <w:rsid w:val="00480BFA"/>
    <w:rsid w:val="0048105D"/>
    <w:rsid w:val="0048152B"/>
    <w:rsid w:val="0048183C"/>
    <w:rsid w:val="00481BBD"/>
    <w:rsid w:val="00481BE2"/>
    <w:rsid w:val="00481CE3"/>
    <w:rsid w:val="00481FF0"/>
    <w:rsid w:val="00482328"/>
    <w:rsid w:val="004826D8"/>
    <w:rsid w:val="00482838"/>
    <w:rsid w:val="00482AA0"/>
    <w:rsid w:val="00483253"/>
    <w:rsid w:val="00483752"/>
    <w:rsid w:val="004837A8"/>
    <w:rsid w:val="00483B61"/>
    <w:rsid w:val="00483CBD"/>
    <w:rsid w:val="00483EF5"/>
    <w:rsid w:val="00484197"/>
    <w:rsid w:val="00484F97"/>
    <w:rsid w:val="0048518C"/>
    <w:rsid w:val="00485474"/>
    <w:rsid w:val="004856A0"/>
    <w:rsid w:val="00485F31"/>
    <w:rsid w:val="0048617C"/>
    <w:rsid w:val="004862CB"/>
    <w:rsid w:val="0048662E"/>
    <w:rsid w:val="004866B4"/>
    <w:rsid w:val="00486923"/>
    <w:rsid w:val="00486E89"/>
    <w:rsid w:val="00487013"/>
    <w:rsid w:val="004872B0"/>
    <w:rsid w:val="0048734E"/>
    <w:rsid w:val="004900BE"/>
    <w:rsid w:val="0049030B"/>
    <w:rsid w:val="00490991"/>
    <w:rsid w:val="00490AFE"/>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7C4"/>
    <w:rsid w:val="00495976"/>
    <w:rsid w:val="00495D24"/>
    <w:rsid w:val="00495E42"/>
    <w:rsid w:val="00496313"/>
    <w:rsid w:val="004968B7"/>
    <w:rsid w:val="004969CE"/>
    <w:rsid w:val="0049726E"/>
    <w:rsid w:val="0049735A"/>
    <w:rsid w:val="004974A0"/>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0BD"/>
    <w:rsid w:val="004A5232"/>
    <w:rsid w:val="004A52C9"/>
    <w:rsid w:val="004A52E9"/>
    <w:rsid w:val="004A5363"/>
    <w:rsid w:val="004A5471"/>
    <w:rsid w:val="004A55A7"/>
    <w:rsid w:val="004A587C"/>
    <w:rsid w:val="004A65AC"/>
    <w:rsid w:val="004A65AF"/>
    <w:rsid w:val="004A69C6"/>
    <w:rsid w:val="004A6EEF"/>
    <w:rsid w:val="004A736A"/>
    <w:rsid w:val="004A7FD5"/>
    <w:rsid w:val="004B02B0"/>
    <w:rsid w:val="004B1168"/>
    <w:rsid w:val="004B13FE"/>
    <w:rsid w:val="004B1441"/>
    <w:rsid w:val="004B1FE6"/>
    <w:rsid w:val="004B21BC"/>
    <w:rsid w:val="004B23FA"/>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28"/>
    <w:rsid w:val="004B4EF5"/>
    <w:rsid w:val="004B5618"/>
    <w:rsid w:val="004B5D95"/>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21"/>
    <w:rsid w:val="004C6145"/>
    <w:rsid w:val="004C61B7"/>
    <w:rsid w:val="004C6243"/>
    <w:rsid w:val="004C6324"/>
    <w:rsid w:val="004C69F7"/>
    <w:rsid w:val="004C6D16"/>
    <w:rsid w:val="004C7062"/>
    <w:rsid w:val="004C740B"/>
    <w:rsid w:val="004C78BF"/>
    <w:rsid w:val="004C7C3A"/>
    <w:rsid w:val="004D0574"/>
    <w:rsid w:val="004D0831"/>
    <w:rsid w:val="004D0F8D"/>
    <w:rsid w:val="004D10F7"/>
    <w:rsid w:val="004D1143"/>
    <w:rsid w:val="004D1314"/>
    <w:rsid w:val="004D13B1"/>
    <w:rsid w:val="004D1D7A"/>
    <w:rsid w:val="004D1DB0"/>
    <w:rsid w:val="004D23F8"/>
    <w:rsid w:val="004D25C5"/>
    <w:rsid w:val="004D26E0"/>
    <w:rsid w:val="004D282B"/>
    <w:rsid w:val="004D2E9E"/>
    <w:rsid w:val="004D2F23"/>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D7F18"/>
    <w:rsid w:val="004E0261"/>
    <w:rsid w:val="004E0815"/>
    <w:rsid w:val="004E0C3A"/>
    <w:rsid w:val="004E0F7F"/>
    <w:rsid w:val="004E0FBE"/>
    <w:rsid w:val="004E0FF1"/>
    <w:rsid w:val="004E1250"/>
    <w:rsid w:val="004E13D6"/>
    <w:rsid w:val="004E1497"/>
    <w:rsid w:val="004E1679"/>
    <w:rsid w:val="004E2306"/>
    <w:rsid w:val="004E27E7"/>
    <w:rsid w:val="004E2B24"/>
    <w:rsid w:val="004E2BDF"/>
    <w:rsid w:val="004E2F6A"/>
    <w:rsid w:val="004E31C3"/>
    <w:rsid w:val="004E3753"/>
    <w:rsid w:val="004E387B"/>
    <w:rsid w:val="004E3A66"/>
    <w:rsid w:val="004E3ABB"/>
    <w:rsid w:val="004E4248"/>
    <w:rsid w:val="004E4320"/>
    <w:rsid w:val="004E436C"/>
    <w:rsid w:val="004E451E"/>
    <w:rsid w:val="004E4845"/>
    <w:rsid w:val="004E4E93"/>
    <w:rsid w:val="004E5851"/>
    <w:rsid w:val="004E6072"/>
    <w:rsid w:val="004E6487"/>
    <w:rsid w:val="004E6648"/>
    <w:rsid w:val="004E6B86"/>
    <w:rsid w:val="004E6C49"/>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1FEB"/>
    <w:rsid w:val="004F1FFE"/>
    <w:rsid w:val="004F25F4"/>
    <w:rsid w:val="004F2A7A"/>
    <w:rsid w:val="004F3085"/>
    <w:rsid w:val="004F3B36"/>
    <w:rsid w:val="004F3CF7"/>
    <w:rsid w:val="004F3DA4"/>
    <w:rsid w:val="004F45ED"/>
    <w:rsid w:val="004F49E8"/>
    <w:rsid w:val="004F4C2A"/>
    <w:rsid w:val="004F52CC"/>
    <w:rsid w:val="004F592B"/>
    <w:rsid w:val="004F5A7A"/>
    <w:rsid w:val="004F6190"/>
    <w:rsid w:val="004F6759"/>
    <w:rsid w:val="004F6C2A"/>
    <w:rsid w:val="004F71DD"/>
    <w:rsid w:val="004F7427"/>
    <w:rsid w:val="004F74CC"/>
    <w:rsid w:val="004F74FA"/>
    <w:rsid w:val="004F753A"/>
    <w:rsid w:val="004F7787"/>
    <w:rsid w:val="004F783B"/>
    <w:rsid w:val="004F7DB6"/>
    <w:rsid w:val="004F7DCC"/>
    <w:rsid w:val="004F7E8E"/>
    <w:rsid w:val="00500C86"/>
    <w:rsid w:val="00501038"/>
    <w:rsid w:val="00501596"/>
    <w:rsid w:val="005015CF"/>
    <w:rsid w:val="00501ACD"/>
    <w:rsid w:val="0050274C"/>
    <w:rsid w:val="00502B94"/>
    <w:rsid w:val="00502CFE"/>
    <w:rsid w:val="005030D4"/>
    <w:rsid w:val="0050311E"/>
    <w:rsid w:val="00503AE2"/>
    <w:rsid w:val="00503B02"/>
    <w:rsid w:val="00503D93"/>
    <w:rsid w:val="00504754"/>
    <w:rsid w:val="00504C43"/>
    <w:rsid w:val="00505155"/>
    <w:rsid w:val="005056B0"/>
    <w:rsid w:val="00505F87"/>
    <w:rsid w:val="005065DD"/>
    <w:rsid w:val="005067E9"/>
    <w:rsid w:val="00506A6D"/>
    <w:rsid w:val="00506BA7"/>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478"/>
    <w:rsid w:val="00512580"/>
    <w:rsid w:val="005125EE"/>
    <w:rsid w:val="00512718"/>
    <w:rsid w:val="0051272C"/>
    <w:rsid w:val="00512C5B"/>
    <w:rsid w:val="00512ED7"/>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D42"/>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1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3E4"/>
    <w:rsid w:val="005317D0"/>
    <w:rsid w:val="0053186C"/>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4DB"/>
    <w:rsid w:val="00536B5C"/>
    <w:rsid w:val="00537131"/>
    <w:rsid w:val="00537A86"/>
    <w:rsid w:val="00537C0F"/>
    <w:rsid w:val="00537D44"/>
    <w:rsid w:val="005402E2"/>
    <w:rsid w:val="0054083E"/>
    <w:rsid w:val="00540C91"/>
    <w:rsid w:val="00540EDF"/>
    <w:rsid w:val="00540FE2"/>
    <w:rsid w:val="005412BE"/>
    <w:rsid w:val="005414EF"/>
    <w:rsid w:val="00541957"/>
    <w:rsid w:val="00541A75"/>
    <w:rsid w:val="00542233"/>
    <w:rsid w:val="00542408"/>
    <w:rsid w:val="0054288C"/>
    <w:rsid w:val="00542AB4"/>
    <w:rsid w:val="00542B64"/>
    <w:rsid w:val="00542F04"/>
    <w:rsid w:val="00543212"/>
    <w:rsid w:val="00543260"/>
    <w:rsid w:val="0054345A"/>
    <w:rsid w:val="0054367B"/>
    <w:rsid w:val="00543797"/>
    <w:rsid w:val="00543809"/>
    <w:rsid w:val="00543C53"/>
    <w:rsid w:val="00543D59"/>
    <w:rsid w:val="0054431E"/>
    <w:rsid w:val="005445C3"/>
    <w:rsid w:val="00544B8B"/>
    <w:rsid w:val="00544D0C"/>
    <w:rsid w:val="00544F2D"/>
    <w:rsid w:val="00545EC5"/>
    <w:rsid w:val="005463C5"/>
    <w:rsid w:val="00546C86"/>
    <w:rsid w:val="00547163"/>
    <w:rsid w:val="005471BF"/>
    <w:rsid w:val="0054799A"/>
    <w:rsid w:val="00547A72"/>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69E"/>
    <w:rsid w:val="0055477E"/>
    <w:rsid w:val="0055487D"/>
    <w:rsid w:val="00554B7A"/>
    <w:rsid w:val="00554C08"/>
    <w:rsid w:val="00554D9C"/>
    <w:rsid w:val="0055514A"/>
    <w:rsid w:val="0055515D"/>
    <w:rsid w:val="00555629"/>
    <w:rsid w:val="0055594B"/>
    <w:rsid w:val="00555A06"/>
    <w:rsid w:val="00555AAD"/>
    <w:rsid w:val="005561A8"/>
    <w:rsid w:val="005561B1"/>
    <w:rsid w:val="00556965"/>
    <w:rsid w:val="00556E77"/>
    <w:rsid w:val="00556FD9"/>
    <w:rsid w:val="0055779C"/>
    <w:rsid w:val="00557B1A"/>
    <w:rsid w:val="00557D7B"/>
    <w:rsid w:val="0056036C"/>
    <w:rsid w:val="00560801"/>
    <w:rsid w:val="00560858"/>
    <w:rsid w:val="0056088B"/>
    <w:rsid w:val="00560EF2"/>
    <w:rsid w:val="0056110C"/>
    <w:rsid w:val="005611BD"/>
    <w:rsid w:val="0056138E"/>
    <w:rsid w:val="00561DAA"/>
    <w:rsid w:val="0056254F"/>
    <w:rsid w:val="0056278A"/>
    <w:rsid w:val="00562CE8"/>
    <w:rsid w:val="00563164"/>
    <w:rsid w:val="00563AEC"/>
    <w:rsid w:val="005641CB"/>
    <w:rsid w:val="00564345"/>
    <w:rsid w:val="005644C3"/>
    <w:rsid w:val="0056487E"/>
    <w:rsid w:val="00564A33"/>
    <w:rsid w:val="00565215"/>
    <w:rsid w:val="005655B3"/>
    <w:rsid w:val="00565AB6"/>
    <w:rsid w:val="00566422"/>
    <w:rsid w:val="005667A4"/>
    <w:rsid w:val="00566D6D"/>
    <w:rsid w:val="0056772B"/>
    <w:rsid w:val="00567BA3"/>
    <w:rsid w:val="00567BFB"/>
    <w:rsid w:val="00570408"/>
    <w:rsid w:val="005704F4"/>
    <w:rsid w:val="00570B33"/>
    <w:rsid w:val="00571165"/>
    <w:rsid w:val="005712F8"/>
    <w:rsid w:val="00571956"/>
    <w:rsid w:val="00571D62"/>
    <w:rsid w:val="00571FC3"/>
    <w:rsid w:val="0057209C"/>
    <w:rsid w:val="005726A3"/>
    <w:rsid w:val="00572AA3"/>
    <w:rsid w:val="00572F21"/>
    <w:rsid w:val="005736E0"/>
    <w:rsid w:val="00573C20"/>
    <w:rsid w:val="00573C3D"/>
    <w:rsid w:val="00574007"/>
    <w:rsid w:val="005741A4"/>
    <w:rsid w:val="00574309"/>
    <w:rsid w:val="0057455E"/>
    <w:rsid w:val="0057465B"/>
    <w:rsid w:val="00574829"/>
    <w:rsid w:val="00574B5C"/>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762"/>
    <w:rsid w:val="00581E0B"/>
    <w:rsid w:val="00582002"/>
    <w:rsid w:val="00582046"/>
    <w:rsid w:val="005825A8"/>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53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7F0"/>
    <w:rsid w:val="00594A39"/>
    <w:rsid w:val="00594F87"/>
    <w:rsid w:val="00595081"/>
    <w:rsid w:val="005950C1"/>
    <w:rsid w:val="00595A33"/>
    <w:rsid w:val="00595F55"/>
    <w:rsid w:val="00596598"/>
    <w:rsid w:val="00596DF4"/>
    <w:rsid w:val="00596FCE"/>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591"/>
    <w:rsid w:val="005A36C9"/>
    <w:rsid w:val="005A3C75"/>
    <w:rsid w:val="005A3D56"/>
    <w:rsid w:val="005A452B"/>
    <w:rsid w:val="005A4BC9"/>
    <w:rsid w:val="005A4E63"/>
    <w:rsid w:val="005A4FE8"/>
    <w:rsid w:val="005A51F9"/>
    <w:rsid w:val="005A5B15"/>
    <w:rsid w:val="005A606D"/>
    <w:rsid w:val="005A64B1"/>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5EF"/>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5B2"/>
    <w:rsid w:val="005B5B3C"/>
    <w:rsid w:val="005B5B44"/>
    <w:rsid w:val="005B5BDB"/>
    <w:rsid w:val="005B5DCA"/>
    <w:rsid w:val="005B60B6"/>
    <w:rsid w:val="005B61BE"/>
    <w:rsid w:val="005B64CC"/>
    <w:rsid w:val="005B66AB"/>
    <w:rsid w:val="005B6955"/>
    <w:rsid w:val="005B6BC6"/>
    <w:rsid w:val="005B6C5A"/>
    <w:rsid w:val="005B6CC3"/>
    <w:rsid w:val="005B742A"/>
    <w:rsid w:val="005B77F0"/>
    <w:rsid w:val="005B787B"/>
    <w:rsid w:val="005C05A1"/>
    <w:rsid w:val="005C076C"/>
    <w:rsid w:val="005C0F0D"/>
    <w:rsid w:val="005C0F75"/>
    <w:rsid w:val="005C10C3"/>
    <w:rsid w:val="005C14E3"/>
    <w:rsid w:val="005C15E6"/>
    <w:rsid w:val="005C176B"/>
    <w:rsid w:val="005C1A02"/>
    <w:rsid w:val="005C1BFE"/>
    <w:rsid w:val="005C1F21"/>
    <w:rsid w:val="005C2133"/>
    <w:rsid w:val="005C2A2F"/>
    <w:rsid w:val="005C2BCD"/>
    <w:rsid w:val="005C3B25"/>
    <w:rsid w:val="005C40B1"/>
    <w:rsid w:val="005C41EA"/>
    <w:rsid w:val="005C4246"/>
    <w:rsid w:val="005C4415"/>
    <w:rsid w:val="005C44C7"/>
    <w:rsid w:val="005C4BD2"/>
    <w:rsid w:val="005C5858"/>
    <w:rsid w:val="005C5ACE"/>
    <w:rsid w:val="005C68E9"/>
    <w:rsid w:val="005C6BF8"/>
    <w:rsid w:val="005C6C10"/>
    <w:rsid w:val="005C6CB9"/>
    <w:rsid w:val="005C6F4B"/>
    <w:rsid w:val="005C734A"/>
    <w:rsid w:val="005C7950"/>
    <w:rsid w:val="005C7953"/>
    <w:rsid w:val="005C7BCD"/>
    <w:rsid w:val="005C7D5A"/>
    <w:rsid w:val="005D0D1A"/>
    <w:rsid w:val="005D0F2E"/>
    <w:rsid w:val="005D13A0"/>
    <w:rsid w:val="005D145C"/>
    <w:rsid w:val="005D1B41"/>
    <w:rsid w:val="005D1E03"/>
    <w:rsid w:val="005D1E13"/>
    <w:rsid w:val="005D2472"/>
    <w:rsid w:val="005D26B8"/>
    <w:rsid w:val="005D2E6A"/>
    <w:rsid w:val="005D3067"/>
    <w:rsid w:val="005D32CB"/>
    <w:rsid w:val="005D3659"/>
    <w:rsid w:val="005D3BA3"/>
    <w:rsid w:val="005D4027"/>
    <w:rsid w:val="005D50F4"/>
    <w:rsid w:val="005D5324"/>
    <w:rsid w:val="005D53FB"/>
    <w:rsid w:val="005D588C"/>
    <w:rsid w:val="005D5AF3"/>
    <w:rsid w:val="005D5B82"/>
    <w:rsid w:val="005D5DE4"/>
    <w:rsid w:val="005D5E06"/>
    <w:rsid w:val="005D5F87"/>
    <w:rsid w:val="005D5FFA"/>
    <w:rsid w:val="005D6007"/>
    <w:rsid w:val="005D6252"/>
    <w:rsid w:val="005D64D0"/>
    <w:rsid w:val="005D65C0"/>
    <w:rsid w:val="005D6ABD"/>
    <w:rsid w:val="005D6C41"/>
    <w:rsid w:val="005D6D0D"/>
    <w:rsid w:val="005D6DBE"/>
    <w:rsid w:val="005D74B9"/>
    <w:rsid w:val="005D772C"/>
    <w:rsid w:val="005D7B4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9DB"/>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B4B"/>
    <w:rsid w:val="005F2CBB"/>
    <w:rsid w:val="005F2D82"/>
    <w:rsid w:val="005F2F80"/>
    <w:rsid w:val="005F3089"/>
    <w:rsid w:val="005F30C0"/>
    <w:rsid w:val="005F30DD"/>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1A7"/>
    <w:rsid w:val="005F62F1"/>
    <w:rsid w:val="005F642A"/>
    <w:rsid w:val="005F6664"/>
    <w:rsid w:val="005F66E7"/>
    <w:rsid w:val="005F67FB"/>
    <w:rsid w:val="005F6C07"/>
    <w:rsid w:val="005F6E5D"/>
    <w:rsid w:val="005F6EA9"/>
    <w:rsid w:val="005F735D"/>
    <w:rsid w:val="005F744A"/>
    <w:rsid w:val="005F756D"/>
    <w:rsid w:val="005F7DCF"/>
    <w:rsid w:val="006001D8"/>
    <w:rsid w:val="00600303"/>
    <w:rsid w:val="006006BC"/>
    <w:rsid w:val="0060085C"/>
    <w:rsid w:val="006009E3"/>
    <w:rsid w:val="00600E6D"/>
    <w:rsid w:val="006011D7"/>
    <w:rsid w:val="0060145B"/>
    <w:rsid w:val="0060145E"/>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71"/>
    <w:rsid w:val="006112D0"/>
    <w:rsid w:val="006122D7"/>
    <w:rsid w:val="006123CD"/>
    <w:rsid w:val="00612E37"/>
    <w:rsid w:val="00612E71"/>
    <w:rsid w:val="0061335D"/>
    <w:rsid w:val="006135BF"/>
    <w:rsid w:val="00614076"/>
    <w:rsid w:val="00614624"/>
    <w:rsid w:val="00614D4E"/>
    <w:rsid w:val="006157AC"/>
    <w:rsid w:val="00615A6F"/>
    <w:rsid w:val="00615B07"/>
    <w:rsid w:val="00615CF4"/>
    <w:rsid w:val="00615D91"/>
    <w:rsid w:val="0061605E"/>
    <w:rsid w:val="0061628B"/>
    <w:rsid w:val="00616A49"/>
    <w:rsid w:val="00616E05"/>
    <w:rsid w:val="00616F78"/>
    <w:rsid w:val="00617761"/>
    <w:rsid w:val="006179A5"/>
    <w:rsid w:val="00617E12"/>
    <w:rsid w:val="006201F3"/>
    <w:rsid w:val="00620A2B"/>
    <w:rsid w:val="00620AC7"/>
    <w:rsid w:val="00620B76"/>
    <w:rsid w:val="00620EA7"/>
    <w:rsid w:val="00621484"/>
    <w:rsid w:val="006215E4"/>
    <w:rsid w:val="00621F6B"/>
    <w:rsid w:val="006224BC"/>
    <w:rsid w:val="00622E4D"/>
    <w:rsid w:val="006232F3"/>
    <w:rsid w:val="006234BC"/>
    <w:rsid w:val="00623546"/>
    <w:rsid w:val="00623670"/>
    <w:rsid w:val="006236A0"/>
    <w:rsid w:val="00623D4B"/>
    <w:rsid w:val="00623ED4"/>
    <w:rsid w:val="0062410A"/>
    <w:rsid w:val="006241A7"/>
    <w:rsid w:val="00624427"/>
    <w:rsid w:val="0062467A"/>
    <w:rsid w:val="00624B3A"/>
    <w:rsid w:val="00624D92"/>
    <w:rsid w:val="00624DCF"/>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6F"/>
    <w:rsid w:val="006334DC"/>
    <w:rsid w:val="00633873"/>
    <w:rsid w:val="0063387D"/>
    <w:rsid w:val="00633A50"/>
    <w:rsid w:val="00633AA6"/>
    <w:rsid w:val="00633C1C"/>
    <w:rsid w:val="00633E4D"/>
    <w:rsid w:val="00633FE5"/>
    <w:rsid w:val="0063479F"/>
    <w:rsid w:val="00634D77"/>
    <w:rsid w:val="00634FC5"/>
    <w:rsid w:val="0063509F"/>
    <w:rsid w:val="00635117"/>
    <w:rsid w:val="00635555"/>
    <w:rsid w:val="00635602"/>
    <w:rsid w:val="0063567C"/>
    <w:rsid w:val="00635BA7"/>
    <w:rsid w:val="00636495"/>
    <w:rsid w:val="006368D5"/>
    <w:rsid w:val="00637089"/>
    <w:rsid w:val="00637374"/>
    <w:rsid w:val="006374BD"/>
    <w:rsid w:val="006377B9"/>
    <w:rsid w:val="00637F9A"/>
    <w:rsid w:val="00640177"/>
    <w:rsid w:val="006401A9"/>
    <w:rsid w:val="006403A2"/>
    <w:rsid w:val="006403F7"/>
    <w:rsid w:val="00640685"/>
    <w:rsid w:val="00640818"/>
    <w:rsid w:val="00640C1E"/>
    <w:rsid w:val="0064129A"/>
    <w:rsid w:val="006412F8"/>
    <w:rsid w:val="006418F4"/>
    <w:rsid w:val="00641CA2"/>
    <w:rsid w:val="00642285"/>
    <w:rsid w:val="0064237B"/>
    <w:rsid w:val="006423B8"/>
    <w:rsid w:val="00642661"/>
    <w:rsid w:val="006426A0"/>
    <w:rsid w:val="00642979"/>
    <w:rsid w:val="00642CA9"/>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317"/>
    <w:rsid w:val="0065142F"/>
    <w:rsid w:val="00651696"/>
    <w:rsid w:val="006517EE"/>
    <w:rsid w:val="00651817"/>
    <w:rsid w:val="00651840"/>
    <w:rsid w:val="00651B78"/>
    <w:rsid w:val="00651C67"/>
    <w:rsid w:val="006524B0"/>
    <w:rsid w:val="006528A7"/>
    <w:rsid w:val="00653028"/>
    <w:rsid w:val="006533DC"/>
    <w:rsid w:val="00653561"/>
    <w:rsid w:val="00653578"/>
    <w:rsid w:val="006535E2"/>
    <w:rsid w:val="00653880"/>
    <w:rsid w:val="006538DD"/>
    <w:rsid w:val="006539E6"/>
    <w:rsid w:val="00653DB6"/>
    <w:rsid w:val="00653E3C"/>
    <w:rsid w:val="00654111"/>
    <w:rsid w:val="0065430C"/>
    <w:rsid w:val="0065498F"/>
    <w:rsid w:val="00654D45"/>
    <w:rsid w:val="0065508A"/>
    <w:rsid w:val="00655F03"/>
    <w:rsid w:val="006569D4"/>
    <w:rsid w:val="00656D1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3F8B"/>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57"/>
    <w:rsid w:val="00683272"/>
    <w:rsid w:val="0068333D"/>
    <w:rsid w:val="00683382"/>
    <w:rsid w:val="00683404"/>
    <w:rsid w:val="0068347F"/>
    <w:rsid w:val="006834B8"/>
    <w:rsid w:val="0068352A"/>
    <w:rsid w:val="00683985"/>
    <w:rsid w:val="006839CA"/>
    <w:rsid w:val="006843CB"/>
    <w:rsid w:val="006846CE"/>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1D"/>
    <w:rsid w:val="006920B0"/>
    <w:rsid w:val="006920E6"/>
    <w:rsid w:val="00692402"/>
    <w:rsid w:val="0069247A"/>
    <w:rsid w:val="006926B1"/>
    <w:rsid w:val="0069294A"/>
    <w:rsid w:val="00692B83"/>
    <w:rsid w:val="00693ED3"/>
    <w:rsid w:val="00693F07"/>
    <w:rsid w:val="00694074"/>
    <w:rsid w:val="006941B6"/>
    <w:rsid w:val="00694F03"/>
    <w:rsid w:val="00694F8C"/>
    <w:rsid w:val="0069501D"/>
    <w:rsid w:val="006951AC"/>
    <w:rsid w:val="006960F5"/>
    <w:rsid w:val="00696A75"/>
    <w:rsid w:val="00696A7C"/>
    <w:rsid w:val="00696BA2"/>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1E74"/>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CD3"/>
    <w:rsid w:val="006A5DF5"/>
    <w:rsid w:val="006A6319"/>
    <w:rsid w:val="006A655C"/>
    <w:rsid w:val="006A6560"/>
    <w:rsid w:val="006A66EC"/>
    <w:rsid w:val="006A684B"/>
    <w:rsid w:val="006A6956"/>
    <w:rsid w:val="006A6984"/>
    <w:rsid w:val="006A6B5E"/>
    <w:rsid w:val="006A6B74"/>
    <w:rsid w:val="006A6B9B"/>
    <w:rsid w:val="006A6FEA"/>
    <w:rsid w:val="006A7147"/>
    <w:rsid w:val="006A72E1"/>
    <w:rsid w:val="006A7321"/>
    <w:rsid w:val="006A7784"/>
    <w:rsid w:val="006A7994"/>
    <w:rsid w:val="006A7CC3"/>
    <w:rsid w:val="006B022F"/>
    <w:rsid w:val="006B031C"/>
    <w:rsid w:val="006B0B2B"/>
    <w:rsid w:val="006B0B90"/>
    <w:rsid w:val="006B0C14"/>
    <w:rsid w:val="006B0FDD"/>
    <w:rsid w:val="006B1402"/>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335"/>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5797"/>
    <w:rsid w:val="006D5A2B"/>
    <w:rsid w:val="006D5CBF"/>
    <w:rsid w:val="006D608A"/>
    <w:rsid w:val="006D6456"/>
    <w:rsid w:val="006D6782"/>
    <w:rsid w:val="006D6F6C"/>
    <w:rsid w:val="006D7963"/>
    <w:rsid w:val="006D79DA"/>
    <w:rsid w:val="006D7B1C"/>
    <w:rsid w:val="006D7B48"/>
    <w:rsid w:val="006D7B66"/>
    <w:rsid w:val="006E011C"/>
    <w:rsid w:val="006E026E"/>
    <w:rsid w:val="006E02DC"/>
    <w:rsid w:val="006E0951"/>
    <w:rsid w:val="006E0B3D"/>
    <w:rsid w:val="006E0DC7"/>
    <w:rsid w:val="006E151D"/>
    <w:rsid w:val="006E1949"/>
    <w:rsid w:val="006E19CD"/>
    <w:rsid w:val="006E1E4C"/>
    <w:rsid w:val="006E2619"/>
    <w:rsid w:val="006E261A"/>
    <w:rsid w:val="006E328A"/>
    <w:rsid w:val="006E3530"/>
    <w:rsid w:val="006E3C00"/>
    <w:rsid w:val="006E3E89"/>
    <w:rsid w:val="006E3F94"/>
    <w:rsid w:val="006E411F"/>
    <w:rsid w:val="006E4127"/>
    <w:rsid w:val="006E4389"/>
    <w:rsid w:val="006E4480"/>
    <w:rsid w:val="006E484D"/>
    <w:rsid w:val="006E4CD8"/>
    <w:rsid w:val="006E58AB"/>
    <w:rsid w:val="006E59AF"/>
    <w:rsid w:val="006E59F1"/>
    <w:rsid w:val="006E5C1F"/>
    <w:rsid w:val="006E651B"/>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8D5"/>
    <w:rsid w:val="006F29ED"/>
    <w:rsid w:val="006F337E"/>
    <w:rsid w:val="006F3443"/>
    <w:rsid w:val="006F3B81"/>
    <w:rsid w:val="006F3E94"/>
    <w:rsid w:val="006F42A6"/>
    <w:rsid w:val="006F54ED"/>
    <w:rsid w:val="006F57A3"/>
    <w:rsid w:val="006F5E0B"/>
    <w:rsid w:val="006F61EE"/>
    <w:rsid w:val="006F6818"/>
    <w:rsid w:val="006F6AF5"/>
    <w:rsid w:val="006F6EC9"/>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92B"/>
    <w:rsid w:val="00702BBF"/>
    <w:rsid w:val="00702C34"/>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128"/>
    <w:rsid w:val="0071023B"/>
    <w:rsid w:val="00710512"/>
    <w:rsid w:val="00710C37"/>
    <w:rsid w:val="00710CA3"/>
    <w:rsid w:val="00710D03"/>
    <w:rsid w:val="00711060"/>
    <w:rsid w:val="0071138C"/>
    <w:rsid w:val="007115D4"/>
    <w:rsid w:val="007118B9"/>
    <w:rsid w:val="0071192B"/>
    <w:rsid w:val="00711A65"/>
    <w:rsid w:val="00711B1E"/>
    <w:rsid w:val="00711EEE"/>
    <w:rsid w:val="007121D3"/>
    <w:rsid w:val="00712714"/>
    <w:rsid w:val="00712E17"/>
    <w:rsid w:val="00713647"/>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61A"/>
    <w:rsid w:val="00717988"/>
    <w:rsid w:val="00717B8A"/>
    <w:rsid w:val="00717CF2"/>
    <w:rsid w:val="00717D17"/>
    <w:rsid w:val="007205DE"/>
    <w:rsid w:val="00720966"/>
    <w:rsid w:val="00720CEC"/>
    <w:rsid w:val="00720E1C"/>
    <w:rsid w:val="00720F0C"/>
    <w:rsid w:val="00721024"/>
    <w:rsid w:val="0072118B"/>
    <w:rsid w:val="0072150D"/>
    <w:rsid w:val="00722142"/>
    <w:rsid w:val="00722180"/>
    <w:rsid w:val="00722561"/>
    <w:rsid w:val="007228F1"/>
    <w:rsid w:val="00722C37"/>
    <w:rsid w:val="00722EF1"/>
    <w:rsid w:val="0072353E"/>
    <w:rsid w:val="00723575"/>
    <w:rsid w:val="007236CC"/>
    <w:rsid w:val="00723E3D"/>
    <w:rsid w:val="007240F3"/>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E93"/>
    <w:rsid w:val="00731FA7"/>
    <w:rsid w:val="0073202B"/>
    <w:rsid w:val="00732610"/>
    <w:rsid w:val="00732B7D"/>
    <w:rsid w:val="00732C9E"/>
    <w:rsid w:val="00733539"/>
    <w:rsid w:val="007339AE"/>
    <w:rsid w:val="00733B12"/>
    <w:rsid w:val="00733CFB"/>
    <w:rsid w:val="00734279"/>
    <w:rsid w:val="007343A6"/>
    <w:rsid w:val="007347D0"/>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7AF"/>
    <w:rsid w:val="0074192E"/>
    <w:rsid w:val="00741F43"/>
    <w:rsid w:val="00742095"/>
    <w:rsid w:val="0074227B"/>
    <w:rsid w:val="00742462"/>
    <w:rsid w:val="00742B3F"/>
    <w:rsid w:val="00742F66"/>
    <w:rsid w:val="00742FC5"/>
    <w:rsid w:val="007431CD"/>
    <w:rsid w:val="00743556"/>
    <w:rsid w:val="00743A65"/>
    <w:rsid w:val="00743B50"/>
    <w:rsid w:val="00744116"/>
    <w:rsid w:val="00744372"/>
    <w:rsid w:val="0074474F"/>
    <w:rsid w:val="007452F4"/>
    <w:rsid w:val="00745A53"/>
    <w:rsid w:val="00745B99"/>
    <w:rsid w:val="00746075"/>
    <w:rsid w:val="00746B1D"/>
    <w:rsid w:val="007470AB"/>
    <w:rsid w:val="007470BB"/>
    <w:rsid w:val="00747816"/>
    <w:rsid w:val="00747C2C"/>
    <w:rsid w:val="00747CD1"/>
    <w:rsid w:val="00747EDD"/>
    <w:rsid w:val="00750177"/>
    <w:rsid w:val="0075019F"/>
    <w:rsid w:val="0075074E"/>
    <w:rsid w:val="00750760"/>
    <w:rsid w:val="00750815"/>
    <w:rsid w:val="00750ABB"/>
    <w:rsid w:val="00750D81"/>
    <w:rsid w:val="00750EB3"/>
    <w:rsid w:val="007517C1"/>
    <w:rsid w:val="0075196E"/>
    <w:rsid w:val="00751F73"/>
    <w:rsid w:val="00751FF7"/>
    <w:rsid w:val="00752108"/>
    <w:rsid w:val="007521BD"/>
    <w:rsid w:val="007521DA"/>
    <w:rsid w:val="0075268D"/>
    <w:rsid w:val="007526A1"/>
    <w:rsid w:val="007529CD"/>
    <w:rsid w:val="00752AE2"/>
    <w:rsid w:val="00752BB7"/>
    <w:rsid w:val="00752C01"/>
    <w:rsid w:val="00752F2B"/>
    <w:rsid w:val="00753477"/>
    <w:rsid w:val="0075349E"/>
    <w:rsid w:val="007536AE"/>
    <w:rsid w:val="007536C1"/>
    <w:rsid w:val="007537F8"/>
    <w:rsid w:val="00753971"/>
    <w:rsid w:val="00753C02"/>
    <w:rsid w:val="00753E22"/>
    <w:rsid w:val="00753FB8"/>
    <w:rsid w:val="007540FA"/>
    <w:rsid w:val="007543A0"/>
    <w:rsid w:val="00754484"/>
    <w:rsid w:val="0075472F"/>
    <w:rsid w:val="0075512B"/>
    <w:rsid w:val="00755381"/>
    <w:rsid w:val="00755524"/>
    <w:rsid w:val="00755D9F"/>
    <w:rsid w:val="00756513"/>
    <w:rsid w:val="00756D2B"/>
    <w:rsid w:val="00756EFE"/>
    <w:rsid w:val="00757534"/>
    <w:rsid w:val="00760066"/>
    <w:rsid w:val="0076017C"/>
    <w:rsid w:val="00761A3B"/>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6F9D"/>
    <w:rsid w:val="00767948"/>
    <w:rsid w:val="00767A59"/>
    <w:rsid w:val="007700D9"/>
    <w:rsid w:val="007702BB"/>
    <w:rsid w:val="0077030D"/>
    <w:rsid w:val="007703EA"/>
    <w:rsid w:val="00770848"/>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3FCE"/>
    <w:rsid w:val="00774021"/>
    <w:rsid w:val="00774593"/>
    <w:rsid w:val="00775395"/>
    <w:rsid w:val="00775886"/>
    <w:rsid w:val="00776269"/>
    <w:rsid w:val="00776651"/>
    <w:rsid w:val="00776B16"/>
    <w:rsid w:val="00776B44"/>
    <w:rsid w:val="00776CF8"/>
    <w:rsid w:val="00776D50"/>
    <w:rsid w:val="00776EDE"/>
    <w:rsid w:val="007771BA"/>
    <w:rsid w:val="00777692"/>
    <w:rsid w:val="00777693"/>
    <w:rsid w:val="00777C3C"/>
    <w:rsid w:val="00777FB7"/>
    <w:rsid w:val="007807C9"/>
    <w:rsid w:val="00780B9C"/>
    <w:rsid w:val="00780DC4"/>
    <w:rsid w:val="00780E00"/>
    <w:rsid w:val="0078109D"/>
    <w:rsid w:val="007815ED"/>
    <w:rsid w:val="00781739"/>
    <w:rsid w:val="00781860"/>
    <w:rsid w:val="007818F8"/>
    <w:rsid w:val="007822CB"/>
    <w:rsid w:val="007828DD"/>
    <w:rsid w:val="00782E4E"/>
    <w:rsid w:val="00783086"/>
    <w:rsid w:val="00783602"/>
    <w:rsid w:val="0078368A"/>
    <w:rsid w:val="00783790"/>
    <w:rsid w:val="00783AC2"/>
    <w:rsid w:val="00783C62"/>
    <w:rsid w:val="00783E3C"/>
    <w:rsid w:val="00784361"/>
    <w:rsid w:val="00784463"/>
    <w:rsid w:val="00784790"/>
    <w:rsid w:val="0078546C"/>
    <w:rsid w:val="00785595"/>
    <w:rsid w:val="00785914"/>
    <w:rsid w:val="0078631E"/>
    <w:rsid w:val="0078634C"/>
    <w:rsid w:val="00786C56"/>
    <w:rsid w:val="00787754"/>
    <w:rsid w:val="007878D3"/>
    <w:rsid w:val="0078793B"/>
    <w:rsid w:val="00787C51"/>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D5B"/>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4A"/>
    <w:rsid w:val="007A5E6E"/>
    <w:rsid w:val="007A5F9E"/>
    <w:rsid w:val="007A7612"/>
    <w:rsid w:val="007A7D61"/>
    <w:rsid w:val="007A7E0B"/>
    <w:rsid w:val="007A7EFF"/>
    <w:rsid w:val="007B0963"/>
    <w:rsid w:val="007B0DB7"/>
    <w:rsid w:val="007B1039"/>
    <w:rsid w:val="007B10EE"/>
    <w:rsid w:val="007B11DA"/>
    <w:rsid w:val="007B130E"/>
    <w:rsid w:val="007B173E"/>
    <w:rsid w:val="007B184C"/>
    <w:rsid w:val="007B1C30"/>
    <w:rsid w:val="007B1C8B"/>
    <w:rsid w:val="007B1C98"/>
    <w:rsid w:val="007B1F10"/>
    <w:rsid w:val="007B260B"/>
    <w:rsid w:val="007B2848"/>
    <w:rsid w:val="007B2C56"/>
    <w:rsid w:val="007B323B"/>
    <w:rsid w:val="007B3408"/>
    <w:rsid w:val="007B3D3C"/>
    <w:rsid w:val="007B3D71"/>
    <w:rsid w:val="007B3E80"/>
    <w:rsid w:val="007B442D"/>
    <w:rsid w:val="007B494F"/>
    <w:rsid w:val="007B4B1E"/>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BB4"/>
    <w:rsid w:val="007C0ECD"/>
    <w:rsid w:val="007C1065"/>
    <w:rsid w:val="007C1142"/>
    <w:rsid w:val="007C13FC"/>
    <w:rsid w:val="007C1493"/>
    <w:rsid w:val="007C168F"/>
    <w:rsid w:val="007C16E9"/>
    <w:rsid w:val="007C1C0B"/>
    <w:rsid w:val="007C207E"/>
    <w:rsid w:val="007C2860"/>
    <w:rsid w:val="007C2BC3"/>
    <w:rsid w:val="007C2D0B"/>
    <w:rsid w:val="007C2E62"/>
    <w:rsid w:val="007C3118"/>
    <w:rsid w:val="007C3393"/>
    <w:rsid w:val="007C3671"/>
    <w:rsid w:val="007C3D2A"/>
    <w:rsid w:val="007C3E47"/>
    <w:rsid w:val="007C3FCB"/>
    <w:rsid w:val="007C41A2"/>
    <w:rsid w:val="007C46A2"/>
    <w:rsid w:val="007C4720"/>
    <w:rsid w:val="007C49F6"/>
    <w:rsid w:val="007C4FAA"/>
    <w:rsid w:val="007C5032"/>
    <w:rsid w:val="007C5257"/>
    <w:rsid w:val="007C54D6"/>
    <w:rsid w:val="007C5923"/>
    <w:rsid w:val="007C5A63"/>
    <w:rsid w:val="007C60D1"/>
    <w:rsid w:val="007C6284"/>
    <w:rsid w:val="007C62F2"/>
    <w:rsid w:val="007C6608"/>
    <w:rsid w:val="007C6A87"/>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0C41"/>
    <w:rsid w:val="007D136E"/>
    <w:rsid w:val="007D1462"/>
    <w:rsid w:val="007D1C1E"/>
    <w:rsid w:val="007D1DC1"/>
    <w:rsid w:val="007D228A"/>
    <w:rsid w:val="007D28D9"/>
    <w:rsid w:val="007D29F4"/>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131"/>
    <w:rsid w:val="007D63C3"/>
    <w:rsid w:val="007D640D"/>
    <w:rsid w:val="007D66F3"/>
    <w:rsid w:val="007D69A5"/>
    <w:rsid w:val="007D6F38"/>
    <w:rsid w:val="007D712C"/>
    <w:rsid w:val="007D7740"/>
    <w:rsid w:val="007D7882"/>
    <w:rsid w:val="007E0290"/>
    <w:rsid w:val="007E03C5"/>
    <w:rsid w:val="007E0775"/>
    <w:rsid w:val="007E07C0"/>
    <w:rsid w:val="007E0E08"/>
    <w:rsid w:val="007E0EEC"/>
    <w:rsid w:val="007E0FF2"/>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18D"/>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7B1"/>
    <w:rsid w:val="007F4B39"/>
    <w:rsid w:val="007F4E30"/>
    <w:rsid w:val="007F4E49"/>
    <w:rsid w:val="007F54B7"/>
    <w:rsid w:val="007F56FD"/>
    <w:rsid w:val="007F5C9C"/>
    <w:rsid w:val="007F5E32"/>
    <w:rsid w:val="007F6705"/>
    <w:rsid w:val="007F67BB"/>
    <w:rsid w:val="007F6A9D"/>
    <w:rsid w:val="007F6E98"/>
    <w:rsid w:val="007F70AB"/>
    <w:rsid w:val="007F7296"/>
    <w:rsid w:val="007F7760"/>
    <w:rsid w:val="007F7AE2"/>
    <w:rsid w:val="007F7BC6"/>
    <w:rsid w:val="00800246"/>
    <w:rsid w:val="008004CA"/>
    <w:rsid w:val="00800567"/>
    <w:rsid w:val="00800D8A"/>
    <w:rsid w:val="00800DB4"/>
    <w:rsid w:val="00800EB3"/>
    <w:rsid w:val="0080147F"/>
    <w:rsid w:val="00801582"/>
    <w:rsid w:val="00801939"/>
    <w:rsid w:val="00802050"/>
    <w:rsid w:val="00802272"/>
    <w:rsid w:val="0080241B"/>
    <w:rsid w:val="0080243C"/>
    <w:rsid w:val="008024B9"/>
    <w:rsid w:val="008024ED"/>
    <w:rsid w:val="00802650"/>
    <w:rsid w:val="00802C93"/>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39E"/>
    <w:rsid w:val="00806636"/>
    <w:rsid w:val="008068BC"/>
    <w:rsid w:val="00807388"/>
    <w:rsid w:val="00807393"/>
    <w:rsid w:val="0080748F"/>
    <w:rsid w:val="00807C4B"/>
    <w:rsid w:val="00810EBE"/>
    <w:rsid w:val="0081101D"/>
    <w:rsid w:val="0081133D"/>
    <w:rsid w:val="00811690"/>
    <w:rsid w:val="00811752"/>
    <w:rsid w:val="00811783"/>
    <w:rsid w:val="008117D5"/>
    <w:rsid w:val="00811BF2"/>
    <w:rsid w:val="00812539"/>
    <w:rsid w:val="008126ED"/>
    <w:rsid w:val="00812D0E"/>
    <w:rsid w:val="00812EA5"/>
    <w:rsid w:val="00813254"/>
    <w:rsid w:val="0081335D"/>
    <w:rsid w:val="008134D5"/>
    <w:rsid w:val="0081399D"/>
    <w:rsid w:val="00813ED0"/>
    <w:rsid w:val="00814303"/>
    <w:rsid w:val="008143CB"/>
    <w:rsid w:val="0081485B"/>
    <w:rsid w:val="008149BE"/>
    <w:rsid w:val="00814EBD"/>
    <w:rsid w:val="008153AE"/>
    <w:rsid w:val="008153CE"/>
    <w:rsid w:val="0081553D"/>
    <w:rsid w:val="00815C2A"/>
    <w:rsid w:val="00816627"/>
    <w:rsid w:val="00817352"/>
    <w:rsid w:val="0081795C"/>
    <w:rsid w:val="00820593"/>
    <w:rsid w:val="00820653"/>
    <w:rsid w:val="00820B55"/>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556"/>
    <w:rsid w:val="00824AFE"/>
    <w:rsid w:val="008252EE"/>
    <w:rsid w:val="00825316"/>
    <w:rsid w:val="008264F1"/>
    <w:rsid w:val="008265B8"/>
    <w:rsid w:val="008269A3"/>
    <w:rsid w:val="00826CA4"/>
    <w:rsid w:val="00826F98"/>
    <w:rsid w:val="00827242"/>
    <w:rsid w:val="008278F9"/>
    <w:rsid w:val="00827941"/>
    <w:rsid w:val="00827DF7"/>
    <w:rsid w:val="0083000D"/>
    <w:rsid w:val="00830285"/>
    <w:rsid w:val="0083048F"/>
    <w:rsid w:val="008306D9"/>
    <w:rsid w:val="0083072B"/>
    <w:rsid w:val="008307B8"/>
    <w:rsid w:val="00830B42"/>
    <w:rsid w:val="00830CE7"/>
    <w:rsid w:val="008313E4"/>
    <w:rsid w:val="008314C1"/>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95E"/>
    <w:rsid w:val="00833A17"/>
    <w:rsid w:val="00834883"/>
    <w:rsid w:val="00834896"/>
    <w:rsid w:val="00834A62"/>
    <w:rsid w:val="00834D6D"/>
    <w:rsid w:val="00835754"/>
    <w:rsid w:val="00835D6A"/>
    <w:rsid w:val="008361F4"/>
    <w:rsid w:val="00836757"/>
    <w:rsid w:val="00836C76"/>
    <w:rsid w:val="00837062"/>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466"/>
    <w:rsid w:val="00842AEC"/>
    <w:rsid w:val="00842C5F"/>
    <w:rsid w:val="0084315C"/>
    <w:rsid w:val="00843391"/>
    <w:rsid w:val="0084352A"/>
    <w:rsid w:val="0084357F"/>
    <w:rsid w:val="008436A1"/>
    <w:rsid w:val="008438FF"/>
    <w:rsid w:val="00843CAF"/>
    <w:rsid w:val="0084408F"/>
    <w:rsid w:val="00844140"/>
    <w:rsid w:val="00844251"/>
    <w:rsid w:val="00844578"/>
    <w:rsid w:val="008449B0"/>
    <w:rsid w:val="0084511E"/>
    <w:rsid w:val="0084512C"/>
    <w:rsid w:val="0084545C"/>
    <w:rsid w:val="0084546C"/>
    <w:rsid w:val="008455B8"/>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4EFC"/>
    <w:rsid w:val="00855171"/>
    <w:rsid w:val="00855AF6"/>
    <w:rsid w:val="00855DB8"/>
    <w:rsid w:val="00856085"/>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34BB"/>
    <w:rsid w:val="00863B18"/>
    <w:rsid w:val="00864639"/>
    <w:rsid w:val="0086479A"/>
    <w:rsid w:val="008647F3"/>
    <w:rsid w:val="008648A4"/>
    <w:rsid w:val="00864C85"/>
    <w:rsid w:val="00864CC3"/>
    <w:rsid w:val="00864F29"/>
    <w:rsid w:val="008654C3"/>
    <w:rsid w:val="00865AA0"/>
    <w:rsid w:val="00865AA9"/>
    <w:rsid w:val="00865B0E"/>
    <w:rsid w:val="00865B8B"/>
    <w:rsid w:val="00865FA3"/>
    <w:rsid w:val="0086604E"/>
    <w:rsid w:val="00866782"/>
    <w:rsid w:val="00866E35"/>
    <w:rsid w:val="0086713D"/>
    <w:rsid w:val="00867255"/>
    <w:rsid w:val="008677EC"/>
    <w:rsid w:val="008678CB"/>
    <w:rsid w:val="0086798E"/>
    <w:rsid w:val="00867A40"/>
    <w:rsid w:val="00867D47"/>
    <w:rsid w:val="00870B5F"/>
    <w:rsid w:val="00870E30"/>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0488"/>
    <w:rsid w:val="008812BB"/>
    <w:rsid w:val="00881433"/>
    <w:rsid w:val="0088145F"/>
    <w:rsid w:val="008815A9"/>
    <w:rsid w:val="00881637"/>
    <w:rsid w:val="0088165C"/>
    <w:rsid w:val="00881E4E"/>
    <w:rsid w:val="00882249"/>
    <w:rsid w:val="008823D0"/>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32"/>
    <w:rsid w:val="00885D86"/>
    <w:rsid w:val="008861F5"/>
    <w:rsid w:val="00886330"/>
    <w:rsid w:val="00886A61"/>
    <w:rsid w:val="00886C9F"/>
    <w:rsid w:val="00886EFD"/>
    <w:rsid w:val="0088728A"/>
    <w:rsid w:val="00890253"/>
    <w:rsid w:val="0089056B"/>
    <w:rsid w:val="00890A24"/>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D18"/>
    <w:rsid w:val="00893E55"/>
    <w:rsid w:val="00893E9F"/>
    <w:rsid w:val="008944CE"/>
    <w:rsid w:val="00894802"/>
    <w:rsid w:val="0089498D"/>
    <w:rsid w:val="0089534A"/>
    <w:rsid w:val="0089569A"/>
    <w:rsid w:val="008957DD"/>
    <w:rsid w:val="00895CD6"/>
    <w:rsid w:val="00895D50"/>
    <w:rsid w:val="00895D69"/>
    <w:rsid w:val="00895E31"/>
    <w:rsid w:val="00896BF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048"/>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4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341"/>
    <w:rsid w:val="008B18CE"/>
    <w:rsid w:val="008B1B90"/>
    <w:rsid w:val="008B1BE0"/>
    <w:rsid w:val="008B20B2"/>
    <w:rsid w:val="008B269F"/>
    <w:rsid w:val="008B3567"/>
    <w:rsid w:val="008B37E5"/>
    <w:rsid w:val="008B37FF"/>
    <w:rsid w:val="008B397D"/>
    <w:rsid w:val="008B3B1C"/>
    <w:rsid w:val="008B3BEB"/>
    <w:rsid w:val="008B51B6"/>
    <w:rsid w:val="008B56A0"/>
    <w:rsid w:val="008B5BC4"/>
    <w:rsid w:val="008B5BE7"/>
    <w:rsid w:val="008B5EDC"/>
    <w:rsid w:val="008B62F4"/>
    <w:rsid w:val="008B64CE"/>
    <w:rsid w:val="008B6BE5"/>
    <w:rsid w:val="008B6D0E"/>
    <w:rsid w:val="008B6EBA"/>
    <w:rsid w:val="008B7092"/>
    <w:rsid w:val="008B70FE"/>
    <w:rsid w:val="008B7656"/>
    <w:rsid w:val="008B771E"/>
    <w:rsid w:val="008B7740"/>
    <w:rsid w:val="008C05F3"/>
    <w:rsid w:val="008C0AA2"/>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86A"/>
    <w:rsid w:val="008C3FF6"/>
    <w:rsid w:val="008C4839"/>
    <w:rsid w:val="008C5552"/>
    <w:rsid w:val="008C5FAD"/>
    <w:rsid w:val="008C6058"/>
    <w:rsid w:val="008C6250"/>
    <w:rsid w:val="008C6482"/>
    <w:rsid w:val="008C65CD"/>
    <w:rsid w:val="008C65FE"/>
    <w:rsid w:val="008C66CD"/>
    <w:rsid w:val="008C6C23"/>
    <w:rsid w:val="008C70AD"/>
    <w:rsid w:val="008C7405"/>
    <w:rsid w:val="008C772B"/>
    <w:rsid w:val="008C7B48"/>
    <w:rsid w:val="008C7C64"/>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2F11"/>
    <w:rsid w:val="008E30E3"/>
    <w:rsid w:val="008E3217"/>
    <w:rsid w:val="008E3358"/>
    <w:rsid w:val="008E336D"/>
    <w:rsid w:val="008E3773"/>
    <w:rsid w:val="008E3F0E"/>
    <w:rsid w:val="008E42A5"/>
    <w:rsid w:val="008E42F8"/>
    <w:rsid w:val="008E45B9"/>
    <w:rsid w:val="008E4AB1"/>
    <w:rsid w:val="008E4C52"/>
    <w:rsid w:val="008E4CE3"/>
    <w:rsid w:val="008E50C6"/>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90008F"/>
    <w:rsid w:val="0090065D"/>
    <w:rsid w:val="009009E6"/>
    <w:rsid w:val="00901075"/>
    <w:rsid w:val="00901084"/>
    <w:rsid w:val="00901480"/>
    <w:rsid w:val="0090159B"/>
    <w:rsid w:val="00901AA7"/>
    <w:rsid w:val="00901D02"/>
    <w:rsid w:val="009025E9"/>
    <w:rsid w:val="009026D9"/>
    <w:rsid w:val="009029DA"/>
    <w:rsid w:val="00902A77"/>
    <w:rsid w:val="00903138"/>
    <w:rsid w:val="00903A52"/>
    <w:rsid w:val="009040E6"/>
    <w:rsid w:val="00904240"/>
    <w:rsid w:val="009044C2"/>
    <w:rsid w:val="009046AC"/>
    <w:rsid w:val="009049D9"/>
    <w:rsid w:val="00904BE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8DE"/>
    <w:rsid w:val="00913977"/>
    <w:rsid w:val="009141D1"/>
    <w:rsid w:val="00914203"/>
    <w:rsid w:val="00914428"/>
    <w:rsid w:val="009148C1"/>
    <w:rsid w:val="00914C87"/>
    <w:rsid w:val="00915AB6"/>
    <w:rsid w:val="0091623E"/>
    <w:rsid w:val="009163F2"/>
    <w:rsid w:val="00916C3A"/>
    <w:rsid w:val="00916E8F"/>
    <w:rsid w:val="00916EF9"/>
    <w:rsid w:val="00917166"/>
    <w:rsid w:val="00917445"/>
    <w:rsid w:val="00917560"/>
    <w:rsid w:val="00917601"/>
    <w:rsid w:val="0091760A"/>
    <w:rsid w:val="00917BD5"/>
    <w:rsid w:val="00917C2E"/>
    <w:rsid w:val="00917F6F"/>
    <w:rsid w:val="00920663"/>
    <w:rsid w:val="009207BC"/>
    <w:rsid w:val="00920949"/>
    <w:rsid w:val="009209DD"/>
    <w:rsid w:val="009209EE"/>
    <w:rsid w:val="00921811"/>
    <w:rsid w:val="00921891"/>
    <w:rsid w:val="00921ECC"/>
    <w:rsid w:val="009228DD"/>
    <w:rsid w:val="00922F1C"/>
    <w:rsid w:val="00922F9D"/>
    <w:rsid w:val="009231C2"/>
    <w:rsid w:val="0092354C"/>
    <w:rsid w:val="00924794"/>
    <w:rsid w:val="00924DEA"/>
    <w:rsid w:val="00925390"/>
    <w:rsid w:val="0092560D"/>
    <w:rsid w:val="00925644"/>
    <w:rsid w:val="00925670"/>
    <w:rsid w:val="0092573C"/>
    <w:rsid w:val="00925867"/>
    <w:rsid w:val="00925DD5"/>
    <w:rsid w:val="0092649C"/>
    <w:rsid w:val="00926A44"/>
    <w:rsid w:val="00926B50"/>
    <w:rsid w:val="00926CAE"/>
    <w:rsid w:val="0092752C"/>
    <w:rsid w:val="00927F34"/>
    <w:rsid w:val="00930216"/>
    <w:rsid w:val="009305FD"/>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7BC"/>
    <w:rsid w:val="009438D7"/>
    <w:rsid w:val="00943B4C"/>
    <w:rsid w:val="00943BFB"/>
    <w:rsid w:val="00944190"/>
    <w:rsid w:val="0094481F"/>
    <w:rsid w:val="00944BCB"/>
    <w:rsid w:val="00944E43"/>
    <w:rsid w:val="00944F41"/>
    <w:rsid w:val="00945823"/>
    <w:rsid w:val="00945833"/>
    <w:rsid w:val="00945B83"/>
    <w:rsid w:val="00945C1B"/>
    <w:rsid w:val="00945C90"/>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5F47"/>
    <w:rsid w:val="00956116"/>
    <w:rsid w:val="00956282"/>
    <w:rsid w:val="00956846"/>
    <w:rsid w:val="00956CDF"/>
    <w:rsid w:val="00956D70"/>
    <w:rsid w:val="00956E7B"/>
    <w:rsid w:val="00957271"/>
    <w:rsid w:val="009572D6"/>
    <w:rsid w:val="009573F8"/>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4F4B"/>
    <w:rsid w:val="00965E56"/>
    <w:rsid w:val="00965F20"/>
    <w:rsid w:val="009661C9"/>
    <w:rsid w:val="00966232"/>
    <w:rsid w:val="009664C7"/>
    <w:rsid w:val="00966792"/>
    <w:rsid w:val="0096788F"/>
    <w:rsid w:val="00967DB6"/>
    <w:rsid w:val="0097000C"/>
    <w:rsid w:val="0097047F"/>
    <w:rsid w:val="009706D9"/>
    <w:rsid w:val="00970F83"/>
    <w:rsid w:val="009715A0"/>
    <w:rsid w:val="009715B2"/>
    <w:rsid w:val="00971DB8"/>
    <w:rsid w:val="009727F2"/>
    <w:rsid w:val="009728FA"/>
    <w:rsid w:val="00972C8C"/>
    <w:rsid w:val="009732AB"/>
    <w:rsid w:val="0097352F"/>
    <w:rsid w:val="00973B4C"/>
    <w:rsid w:val="00973BCC"/>
    <w:rsid w:val="00974308"/>
    <w:rsid w:val="00974A89"/>
    <w:rsid w:val="00974D21"/>
    <w:rsid w:val="00974F3A"/>
    <w:rsid w:val="009758DD"/>
    <w:rsid w:val="0097645C"/>
    <w:rsid w:val="009779CF"/>
    <w:rsid w:val="00977CDB"/>
    <w:rsid w:val="00977D86"/>
    <w:rsid w:val="00980280"/>
    <w:rsid w:val="0098030E"/>
    <w:rsid w:val="00980594"/>
    <w:rsid w:val="00980866"/>
    <w:rsid w:val="00980B52"/>
    <w:rsid w:val="00980FD5"/>
    <w:rsid w:val="009814BA"/>
    <w:rsid w:val="00981700"/>
    <w:rsid w:val="00981B3B"/>
    <w:rsid w:val="00981DF3"/>
    <w:rsid w:val="00982786"/>
    <w:rsid w:val="0098289C"/>
    <w:rsid w:val="00982AAE"/>
    <w:rsid w:val="00982BE2"/>
    <w:rsid w:val="00982C3A"/>
    <w:rsid w:val="009832C1"/>
    <w:rsid w:val="0098342F"/>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59DD"/>
    <w:rsid w:val="009864E2"/>
    <w:rsid w:val="00986D96"/>
    <w:rsid w:val="009872AB"/>
    <w:rsid w:val="0098749D"/>
    <w:rsid w:val="00987ADB"/>
    <w:rsid w:val="00987FD8"/>
    <w:rsid w:val="0099046B"/>
    <w:rsid w:val="00990FD7"/>
    <w:rsid w:val="009911F0"/>
    <w:rsid w:val="00991377"/>
    <w:rsid w:val="00992964"/>
    <w:rsid w:val="00992AEB"/>
    <w:rsid w:val="00992ECB"/>
    <w:rsid w:val="0099305B"/>
    <w:rsid w:val="009939D8"/>
    <w:rsid w:val="00993BCC"/>
    <w:rsid w:val="00993E62"/>
    <w:rsid w:val="00994282"/>
    <w:rsid w:val="00994642"/>
    <w:rsid w:val="009947D9"/>
    <w:rsid w:val="0099480B"/>
    <w:rsid w:val="00994811"/>
    <w:rsid w:val="00995A26"/>
    <w:rsid w:val="00995A6D"/>
    <w:rsid w:val="00995BEE"/>
    <w:rsid w:val="00995DE2"/>
    <w:rsid w:val="00995F87"/>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105"/>
    <w:rsid w:val="009A38D8"/>
    <w:rsid w:val="009A39E3"/>
    <w:rsid w:val="009A3BE9"/>
    <w:rsid w:val="009A3F93"/>
    <w:rsid w:val="009A3FE6"/>
    <w:rsid w:val="009A4536"/>
    <w:rsid w:val="009A4E42"/>
    <w:rsid w:val="009A4F40"/>
    <w:rsid w:val="009A4F7F"/>
    <w:rsid w:val="009A5101"/>
    <w:rsid w:val="009A519B"/>
    <w:rsid w:val="009A53F1"/>
    <w:rsid w:val="009A5411"/>
    <w:rsid w:val="009A5B72"/>
    <w:rsid w:val="009A5CDC"/>
    <w:rsid w:val="009A6CFD"/>
    <w:rsid w:val="009A7293"/>
    <w:rsid w:val="009A78ED"/>
    <w:rsid w:val="009A78FE"/>
    <w:rsid w:val="009A7B00"/>
    <w:rsid w:val="009B00A8"/>
    <w:rsid w:val="009B03AF"/>
    <w:rsid w:val="009B0731"/>
    <w:rsid w:val="009B0996"/>
    <w:rsid w:val="009B0B4D"/>
    <w:rsid w:val="009B0C1C"/>
    <w:rsid w:val="009B1175"/>
    <w:rsid w:val="009B14DB"/>
    <w:rsid w:val="009B163B"/>
    <w:rsid w:val="009B16EF"/>
    <w:rsid w:val="009B18BB"/>
    <w:rsid w:val="009B1CAA"/>
    <w:rsid w:val="009B1D72"/>
    <w:rsid w:val="009B1F1C"/>
    <w:rsid w:val="009B1F99"/>
    <w:rsid w:val="009B2875"/>
    <w:rsid w:val="009B2D68"/>
    <w:rsid w:val="009B2DC1"/>
    <w:rsid w:val="009B33C0"/>
    <w:rsid w:val="009B3EAD"/>
    <w:rsid w:val="009B3ED9"/>
    <w:rsid w:val="009B3EE9"/>
    <w:rsid w:val="009B3F25"/>
    <w:rsid w:val="009B4124"/>
    <w:rsid w:val="009B4CB4"/>
    <w:rsid w:val="009B51C7"/>
    <w:rsid w:val="009B5328"/>
    <w:rsid w:val="009B5413"/>
    <w:rsid w:val="009B5987"/>
    <w:rsid w:val="009B5B5A"/>
    <w:rsid w:val="009B5DA6"/>
    <w:rsid w:val="009B6AE3"/>
    <w:rsid w:val="009B6B57"/>
    <w:rsid w:val="009B6BA1"/>
    <w:rsid w:val="009B6CD8"/>
    <w:rsid w:val="009B7DE4"/>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3E87"/>
    <w:rsid w:val="009C458C"/>
    <w:rsid w:val="009C458E"/>
    <w:rsid w:val="009C45BF"/>
    <w:rsid w:val="009C4A36"/>
    <w:rsid w:val="009C4D99"/>
    <w:rsid w:val="009C519E"/>
    <w:rsid w:val="009C52CB"/>
    <w:rsid w:val="009C5587"/>
    <w:rsid w:val="009C562F"/>
    <w:rsid w:val="009C58B4"/>
    <w:rsid w:val="009C5D21"/>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84"/>
    <w:rsid w:val="009D26DF"/>
    <w:rsid w:val="009D2A3E"/>
    <w:rsid w:val="009D2AB2"/>
    <w:rsid w:val="009D2AEC"/>
    <w:rsid w:val="009D2E53"/>
    <w:rsid w:val="009D2F12"/>
    <w:rsid w:val="009D301C"/>
    <w:rsid w:val="009D3654"/>
    <w:rsid w:val="009D37F2"/>
    <w:rsid w:val="009D3A0B"/>
    <w:rsid w:val="009D3E4A"/>
    <w:rsid w:val="009D3EF2"/>
    <w:rsid w:val="009D48DA"/>
    <w:rsid w:val="009D4A69"/>
    <w:rsid w:val="009D4AD3"/>
    <w:rsid w:val="009D4C92"/>
    <w:rsid w:val="009D51E3"/>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2FD"/>
    <w:rsid w:val="009E37C4"/>
    <w:rsid w:val="009E3807"/>
    <w:rsid w:val="009E3AF5"/>
    <w:rsid w:val="009E3DBA"/>
    <w:rsid w:val="009E3F18"/>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6FF0"/>
    <w:rsid w:val="009E7484"/>
    <w:rsid w:val="009E7566"/>
    <w:rsid w:val="009E75C1"/>
    <w:rsid w:val="009E775E"/>
    <w:rsid w:val="009E7B24"/>
    <w:rsid w:val="009E7BBD"/>
    <w:rsid w:val="009F0123"/>
    <w:rsid w:val="009F043F"/>
    <w:rsid w:val="009F0853"/>
    <w:rsid w:val="009F0961"/>
    <w:rsid w:val="009F09ED"/>
    <w:rsid w:val="009F13EE"/>
    <w:rsid w:val="009F15B7"/>
    <w:rsid w:val="009F1A8A"/>
    <w:rsid w:val="009F204D"/>
    <w:rsid w:val="009F2287"/>
    <w:rsid w:val="009F249D"/>
    <w:rsid w:val="009F26B9"/>
    <w:rsid w:val="009F2834"/>
    <w:rsid w:val="009F2983"/>
    <w:rsid w:val="009F30DB"/>
    <w:rsid w:val="009F3120"/>
    <w:rsid w:val="009F36C9"/>
    <w:rsid w:val="009F3D3D"/>
    <w:rsid w:val="009F3FBC"/>
    <w:rsid w:val="009F41F6"/>
    <w:rsid w:val="009F4867"/>
    <w:rsid w:val="009F4A8E"/>
    <w:rsid w:val="009F4B1E"/>
    <w:rsid w:val="009F4F5E"/>
    <w:rsid w:val="009F509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0DB4"/>
    <w:rsid w:val="00A01552"/>
    <w:rsid w:val="00A01594"/>
    <w:rsid w:val="00A01658"/>
    <w:rsid w:val="00A0170C"/>
    <w:rsid w:val="00A01A77"/>
    <w:rsid w:val="00A02069"/>
    <w:rsid w:val="00A02AAB"/>
    <w:rsid w:val="00A02AC1"/>
    <w:rsid w:val="00A02E9F"/>
    <w:rsid w:val="00A034BE"/>
    <w:rsid w:val="00A03907"/>
    <w:rsid w:val="00A03A1B"/>
    <w:rsid w:val="00A03F4C"/>
    <w:rsid w:val="00A046A3"/>
    <w:rsid w:val="00A048D5"/>
    <w:rsid w:val="00A05439"/>
    <w:rsid w:val="00A05DFB"/>
    <w:rsid w:val="00A06460"/>
    <w:rsid w:val="00A06837"/>
    <w:rsid w:val="00A06EDE"/>
    <w:rsid w:val="00A070DA"/>
    <w:rsid w:val="00A0717C"/>
    <w:rsid w:val="00A07578"/>
    <w:rsid w:val="00A0778F"/>
    <w:rsid w:val="00A07C67"/>
    <w:rsid w:val="00A10082"/>
    <w:rsid w:val="00A101FF"/>
    <w:rsid w:val="00A10C22"/>
    <w:rsid w:val="00A1131E"/>
    <w:rsid w:val="00A11449"/>
    <w:rsid w:val="00A1145A"/>
    <w:rsid w:val="00A115A0"/>
    <w:rsid w:val="00A11A05"/>
    <w:rsid w:val="00A12276"/>
    <w:rsid w:val="00A12539"/>
    <w:rsid w:val="00A1269E"/>
    <w:rsid w:val="00A12DFE"/>
    <w:rsid w:val="00A13E05"/>
    <w:rsid w:val="00A13FDC"/>
    <w:rsid w:val="00A13FE7"/>
    <w:rsid w:val="00A146B9"/>
    <w:rsid w:val="00A14705"/>
    <w:rsid w:val="00A14792"/>
    <w:rsid w:val="00A14BAF"/>
    <w:rsid w:val="00A14E12"/>
    <w:rsid w:val="00A14E83"/>
    <w:rsid w:val="00A15171"/>
    <w:rsid w:val="00A15689"/>
    <w:rsid w:val="00A15910"/>
    <w:rsid w:val="00A15FA0"/>
    <w:rsid w:val="00A16331"/>
    <w:rsid w:val="00A16415"/>
    <w:rsid w:val="00A16508"/>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3D80"/>
    <w:rsid w:val="00A2400F"/>
    <w:rsid w:val="00A241E2"/>
    <w:rsid w:val="00A2435B"/>
    <w:rsid w:val="00A243C6"/>
    <w:rsid w:val="00A24769"/>
    <w:rsid w:val="00A248E9"/>
    <w:rsid w:val="00A24C7A"/>
    <w:rsid w:val="00A24D45"/>
    <w:rsid w:val="00A24EEF"/>
    <w:rsid w:val="00A25AE8"/>
    <w:rsid w:val="00A26006"/>
    <w:rsid w:val="00A2677B"/>
    <w:rsid w:val="00A26789"/>
    <w:rsid w:val="00A26E3C"/>
    <w:rsid w:val="00A27228"/>
    <w:rsid w:val="00A272EF"/>
    <w:rsid w:val="00A27643"/>
    <w:rsid w:val="00A27858"/>
    <w:rsid w:val="00A30032"/>
    <w:rsid w:val="00A300FA"/>
    <w:rsid w:val="00A30223"/>
    <w:rsid w:val="00A31376"/>
    <w:rsid w:val="00A31497"/>
    <w:rsid w:val="00A31F4B"/>
    <w:rsid w:val="00A323F7"/>
    <w:rsid w:val="00A3311F"/>
    <w:rsid w:val="00A337EB"/>
    <w:rsid w:val="00A33920"/>
    <w:rsid w:val="00A339EA"/>
    <w:rsid w:val="00A33CBF"/>
    <w:rsid w:val="00A33D88"/>
    <w:rsid w:val="00A34010"/>
    <w:rsid w:val="00A3429F"/>
    <w:rsid w:val="00A34605"/>
    <w:rsid w:val="00A34668"/>
    <w:rsid w:val="00A348FF"/>
    <w:rsid w:val="00A34A03"/>
    <w:rsid w:val="00A34BBD"/>
    <w:rsid w:val="00A34DE7"/>
    <w:rsid w:val="00A34EFF"/>
    <w:rsid w:val="00A35520"/>
    <w:rsid w:val="00A35737"/>
    <w:rsid w:val="00A36148"/>
    <w:rsid w:val="00A361E8"/>
    <w:rsid w:val="00A36E38"/>
    <w:rsid w:val="00A36EF2"/>
    <w:rsid w:val="00A36FB2"/>
    <w:rsid w:val="00A37861"/>
    <w:rsid w:val="00A4049C"/>
    <w:rsid w:val="00A4058D"/>
    <w:rsid w:val="00A40596"/>
    <w:rsid w:val="00A406D8"/>
    <w:rsid w:val="00A408E5"/>
    <w:rsid w:val="00A40C5B"/>
    <w:rsid w:val="00A40DA0"/>
    <w:rsid w:val="00A40F96"/>
    <w:rsid w:val="00A4155F"/>
    <w:rsid w:val="00A4161C"/>
    <w:rsid w:val="00A41C6C"/>
    <w:rsid w:val="00A41EFC"/>
    <w:rsid w:val="00A421A7"/>
    <w:rsid w:val="00A42206"/>
    <w:rsid w:val="00A42805"/>
    <w:rsid w:val="00A42DDC"/>
    <w:rsid w:val="00A43212"/>
    <w:rsid w:val="00A432EA"/>
    <w:rsid w:val="00A43558"/>
    <w:rsid w:val="00A43ABA"/>
    <w:rsid w:val="00A43B30"/>
    <w:rsid w:val="00A43B40"/>
    <w:rsid w:val="00A4407D"/>
    <w:rsid w:val="00A444ED"/>
    <w:rsid w:val="00A44639"/>
    <w:rsid w:val="00A448EC"/>
    <w:rsid w:val="00A44993"/>
    <w:rsid w:val="00A44A15"/>
    <w:rsid w:val="00A44A87"/>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2DC"/>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3B0"/>
    <w:rsid w:val="00A62A3E"/>
    <w:rsid w:val="00A62B97"/>
    <w:rsid w:val="00A62BD4"/>
    <w:rsid w:val="00A62C6C"/>
    <w:rsid w:val="00A631D8"/>
    <w:rsid w:val="00A63E70"/>
    <w:rsid w:val="00A63F73"/>
    <w:rsid w:val="00A640CC"/>
    <w:rsid w:val="00A640FB"/>
    <w:rsid w:val="00A64496"/>
    <w:rsid w:val="00A644F3"/>
    <w:rsid w:val="00A64527"/>
    <w:rsid w:val="00A646A2"/>
    <w:rsid w:val="00A64B26"/>
    <w:rsid w:val="00A64E1F"/>
    <w:rsid w:val="00A65291"/>
    <w:rsid w:val="00A65492"/>
    <w:rsid w:val="00A658CE"/>
    <w:rsid w:val="00A65935"/>
    <w:rsid w:val="00A65AED"/>
    <w:rsid w:val="00A65BAF"/>
    <w:rsid w:val="00A6608B"/>
    <w:rsid w:val="00A669C4"/>
    <w:rsid w:val="00A66A14"/>
    <w:rsid w:val="00A66C56"/>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5F4"/>
    <w:rsid w:val="00A816EF"/>
    <w:rsid w:val="00A81A84"/>
    <w:rsid w:val="00A81C07"/>
    <w:rsid w:val="00A81DA6"/>
    <w:rsid w:val="00A82304"/>
    <w:rsid w:val="00A8240E"/>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560"/>
    <w:rsid w:val="00A939AD"/>
    <w:rsid w:val="00A93BE7"/>
    <w:rsid w:val="00A93CCB"/>
    <w:rsid w:val="00A94150"/>
    <w:rsid w:val="00A9498B"/>
    <w:rsid w:val="00A94C09"/>
    <w:rsid w:val="00A95113"/>
    <w:rsid w:val="00A95540"/>
    <w:rsid w:val="00A95D0E"/>
    <w:rsid w:val="00A96694"/>
    <w:rsid w:val="00A96FC0"/>
    <w:rsid w:val="00A97615"/>
    <w:rsid w:val="00A97759"/>
    <w:rsid w:val="00A97A34"/>
    <w:rsid w:val="00A97BE6"/>
    <w:rsid w:val="00A97C8C"/>
    <w:rsid w:val="00AA0234"/>
    <w:rsid w:val="00AA02D0"/>
    <w:rsid w:val="00AA0B01"/>
    <w:rsid w:val="00AA0E4F"/>
    <w:rsid w:val="00AA15E5"/>
    <w:rsid w:val="00AA19D0"/>
    <w:rsid w:val="00AA1C03"/>
    <w:rsid w:val="00AA20D6"/>
    <w:rsid w:val="00AA2154"/>
    <w:rsid w:val="00AA238E"/>
    <w:rsid w:val="00AA2C7F"/>
    <w:rsid w:val="00AA2D1A"/>
    <w:rsid w:val="00AA347A"/>
    <w:rsid w:val="00AA38FF"/>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8F1"/>
    <w:rsid w:val="00AB2EF3"/>
    <w:rsid w:val="00AB2F5E"/>
    <w:rsid w:val="00AB30D5"/>
    <w:rsid w:val="00AB335B"/>
    <w:rsid w:val="00AB3C25"/>
    <w:rsid w:val="00AB4250"/>
    <w:rsid w:val="00AB4865"/>
    <w:rsid w:val="00AB4C44"/>
    <w:rsid w:val="00AB509D"/>
    <w:rsid w:val="00AB5458"/>
    <w:rsid w:val="00AB5C21"/>
    <w:rsid w:val="00AB5E36"/>
    <w:rsid w:val="00AB5E3A"/>
    <w:rsid w:val="00AB60B0"/>
    <w:rsid w:val="00AB6300"/>
    <w:rsid w:val="00AB71FE"/>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2289"/>
    <w:rsid w:val="00AD2B53"/>
    <w:rsid w:val="00AD2CB0"/>
    <w:rsid w:val="00AD300B"/>
    <w:rsid w:val="00AD32DC"/>
    <w:rsid w:val="00AD34C9"/>
    <w:rsid w:val="00AD3B2D"/>
    <w:rsid w:val="00AD4028"/>
    <w:rsid w:val="00AD454B"/>
    <w:rsid w:val="00AD49C2"/>
    <w:rsid w:val="00AD4AA1"/>
    <w:rsid w:val="00AD4EC5"/>
    <w:rsid w:val="00AD545D"/>
    <w:rsid w:val="00AD5689"/>
    <w:rsid w:val="00AD56D7"/>
    <w:rsid w:val="00AD583F"/>
    <w:rsid w:val="00AD5A35"/>
    <w:rsid w:val="00AD5C05"/>
    <w:rsid w:val="00AD6BB2"/>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7ED"/>
    <w:rsid w:val="00AE1AAE"/>
    <w:rsid w:val="00AE1B4B"/>
    <w:rsid w:val="00AE1BE3"/>
    <w:rsid w:val="00AE21B4"/>
    <w:rsid w:val="00AE231A"/>
    <w:rsid w:val="00AE246C"/>
    <w:rsid w:val="00AE2C7D"/>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6EFF"/>
    <w:rsid w:val="00AE710F"/>
    <w:rsid w:val="00AE7229"/>
    <w:rsid w:val="00AE7860"/>
    <w:rsid w:val="00AE7A9E"/>
    <w:rsid w:val="00AE7BA7"/>
    <w:rsid w:val="00AF042E"/>
    <w:rsid w:val="00AF0701"/>
    <w:rsid w:val="00AF0D16"/>
    <w:rsid w:val="00AF125F"/>
    <w:rsid w:val="00AF15B8"/>
    <w:rsid w:val="00AF16D1"/>
    <w:rsid w:val="00AF1882"/>
    <w:rsid w:val="00AF1D15"/>
    <w:rsid w:val="00AF1EB7"/>
    <w:rsid w:val="00AF2ACF"/>
    <w:rsid w:val="00AF33F6"/>
    <w:rsid w:val="00AF3F12"/>
    <w:rsid w:val="00AF405D"/>
    <w:rsid w:val="00AF45F3"/>
    <w:rsid w:val="00AF590A"/>
    <w:rsid w:val="00AF623E"/>
    <w:rsid w:val="00AF62F1"/>
    <w:rsid w:val="00AF6E92"/>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8B7"/>
    <w:rsid w:val="00B0496E"/>
    <w:rsid w:val="00B04B44"/>
    <w:rsid w:val="00B04D82"/>
    <w:rsid w:val="00B05258"/>
    <w:rsid w:val="00B05C15"/>
    <w:rsid w:val="00B05EB5"/>
    <w:rsid w:val="00B05EDA"/>
    <w:rsid w:val="00B06121"/>
    <w:rsid w:val="00B0681C"/>
    <w:rsid w:val="00B0696B"/>
    <w:rsid w:val="00B069FC"/>
    <w:rsid w:val="00B06DFC"/>
    <w:rsid w:val="00B06E42"/>
    <w:rsid w:val="00B06F7A"/>
    <w:rsid w:val="00B06FAC"/>
    <w:rsid w:val="00B07356"/>
    <w:rsid w:val="00B0767C"/>
    <w:rsid w:val="00B103B2"/>
    <w:rsid w:val="00B109D8"/>
    <w:rsid w:val="00B10D73"/>
    <w:rsid w:val="00B113DD"/>
    <w:rsid w:val="00B113E5"/>
    <w:rsid w:val="00B11598"/>
    <w:rsid w:val="00B119BD"/>
    <w:rsid w:val="00B11BBE"/>
    <w:rsid w:val="00B11FD6"/>
    <w:rsid w:val="00B12315"/>
    <w:rsid w:val="00B1252E"/>
    <w:rsid w:val="00B135BE"/>
    <w:rsid w:val="00B13C15"/>
    <w:rsid w:val="00B141F1"/>
    <w:rsid w:val="00B1460C"/>
    <w:rsid w:val="00B14C1A"/>
    <w:rsid w:val="00B15097"/>
    <w:rsid w:val="00B150E5"/>
    <w:rsid w:val="00B1521D"/>
    <w:rsid w:val="00B15672"/>
    <w:rsid w:val="00B16D8E"/>
    <w:rsid w:val="00B17017"/>
    <w:rsid w:val="00B17D65"/>
    <w:rsid w:val="00B17F1B"/>
    <w:rsid w:val="00B208AB"/>
    <w:rsid w:val="00B2155E"/>
    <w:rsid w:val="00B21ABD"/>
    <w:rsid w:val="00B21C2E"/>
    <w:rsid w:val="00B21C30"/>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FE"/>
    <w:rsid w:val="00B2539D"/>
    <w:rsid w:val="00B25406"/>
    <w:rsid w:val="00B255C3"/>
    <w:rsid w:val="00B25660"/>
    <w:rsid w:val="00B25AB0"/>
    <w:rsid w:val="00B25B81"/>
    <w:rsid w:val="00B26183"/>
    <w:rsid w:val="00B267D9"/>
    <w:rsid w:val="00B26BDE"/>
    <w:rsid w:val="00B2747D"/>
    <w:rsid w:val="00B27546"/>
    <w:rsid w:val="00B27732"/>
    <w:rsid w:val="00B27C76"/>
    <w:rsid w:val="00B27FD9"/>
    <w:rsid w:val="00B30499"/>
    <w:rsid w:val="00B30542"/>
    <w:rsid w:val="00B30565"/>
    <w:rsid w:val="00B3078C"/>
    <w:rsid w:val="00B309C5"/>
    <w:rsid w:val="00B30AF2"/>
    <w:rsid w:val="00B311F8"/>
    <w:rsid w:val="00B319DE"/>
    <w:rsid w:val="00B31D3E"/>
    <w:rsid w:val="00B31DDE"/>
    <w:rsid w:val="00B3239E"/>
    <w:rsid w:val="00B32E21"/>
    <w:rsid w:val="00B33079"/>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511"/>
    <w:rsid w:val="00B446C4"/>
    <w:rsid w:val="00B44B33"/>
    <w:rsid w:val="00B44F3B"/>
    <w:rsid w:val="00B45042"/>
    <w:rsid w:val="00B45260"/>
    <w:rsid w:val="00B458E1"/>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0902"/>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CE7"/>
    <w:rsid w:val="00B54DFB"/>
    <w:rsid w:val="00B54FF8"/>
    <w:rsid w:val="00B55680"/>
    <w:rsid w:val="00B55864"/>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6D5"/>
    <w:rsid w:val="00B65939"/>
    <w:rsid w:val="00B65C44"/>
    <w:rsid w:val="00B65E66"/>
    <w:rsid w:val="00B65E98"/>
    <w:rsid w:val="00B6635B"/>
    <w:rsid w:val="00B663D3"/>
    <w:rsid w:val="00B667E9"/>
    <w:rsid w:val="00B66C42"/>
    <w:rsid w:val="00B66DDB"/>
    <w:rsid w:val="00B67293"/>
    <w:rsid w:val="00B67429"/>
    <w:rsid w:val="00B6772D"/>
    <w:rsid w:val="00B67B15"/>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479"/>
    <w:rsid w:val="00B744E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779C9"/>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232"/>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7EF"/>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C4"/>
    <w:rsid w:val="00BB3DDE"/>
    <w:rsid w:val="00BB4522"/>
    <w:rsid w:val="00BB4614"/>
    <w:rsid w:val="00BB4873"/>
    <w:rsid w:val="00BB4B36"/>
    <w:rsid w:val="00BB508D"/>
    <w:rsid w:val="00BB512A"/>
    <w:rsid w:val="00BB5C88"/>
    <w:rsid w:val="00BB659A"/>
    <w:rsid w:val="00BB6E82"/>
    <w:rsid w:val="00BB6F18"/>
    <w:rsid w:val="00BB7070"/>
    <w:rsid w:val="00BB72DF"/>
    <w:rsid w:val="00BB733F"/>
    <w:rsid w:val="00BB7762"/>
    <w:rsid w:val="00BB7800"/>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693"/>
    <w:rsid w:val="00BC576D"/>
    <w:rsid w:val="00BC5796"/>
    <w:rsid w:val="00BC57F9"/>
    <w:rsid w:val="00BC5FAB"/>
    <w:rsid w:val="00BC62B8"/>
    <w:rsid w:val="00BC7243"/>
    <w:rsid w:val="00BC73AE"/>
    <w:rsid w:val="00BC74BB"/>
    <w:rsid w:val="00BC7532"/>
    <w:rsid w:val="00BC77E1"/>
    <w:rsid w:val="00BC7CDB"/>
    <w:rsid w:val="00BD0132"/>
    <w:rsid w:val="00BD0D89"/>
    <w:rsid w:val="00BD0D8A"/>
    <w:rsid w:val="00BD0DBE"/>
    <w:rsid w:val="00BD11B2"/>
    <w:rsid w:val="00BD1460"/>
    <w:rsid w:val="00BD194D"/>
    <w:rsid w:val="00BD1A45"/>
    <w:rsid w:val="00BD1B0C"/>
    <w:rsid w:val="00BD1BE3"/>
    <w:rsid w:val="00BD2072"/>
    <w:rsid w:val="00BD2170"/>
    <w:rsid w:val="00BD2253"/>
    <w:rsid w:val="00BD24CB"/>
    <w:rsid w:val="00BD260E"/>
    <w:rsid w:val="00BD3081"/>
    <w:rsid w:val="00BD30CB"/>
    <w:rsid w:val="00BD3428"/>
    <w:rsid w:val="00BD3711"/>
    <w:rsid w:val="00BD3770"/>
    <w:rsid w:val="00BD3C7F"/>
    <w:rsid w:val="00BD4455"/>
    <w:rsid w:val="00BD470D"/>
    <w:rsid w:val="00BD4DB1"/>
    <w:rsid w:val="00BD4F80"/>
    <w:rsid w:val="00BD5177"/>
    <w:rsid w:val="00BD5252"/>
    <w:rsid w:val="00BD603D"/>
    <w:rsid w:val="00BD604C"/>
    <w:rsid w:val="00BD65A9"/>
    <w:rsid w:val="00BD67E5"/>
    <w:rsid w:val="00BD6CBF"/>
    <w:rsid w:val="00BD7578"/>
    <w:rsid w:val="00BD7659"/>
    <w:rsid w:val="00BD76C5"/>
    <w:rsid w:val="00BD77CE"/>
    <w:rsid w:val="00BD7BF0"/>
    <w:rsid w:val="00BD7C0E"/>
    <w:rsid w:val="00BD7CE1"/>
    <w:rsid w:val="00BD7CFD"/>
    <w:rsid w:val="00BE064F"/>
    <w:rsid w:val="00BE07D7"/>
    <w:rsid w:val="00BE13C3"/>
    <w:rsid w:val="00BE14D7"/>
    <w:rsid w:val="00BE1524"/>
    <w:rsid w:val="00BE1AB5"/>
    <w:rsid w:val="00BE2804"/>
    <w:rsid w:val="00BE2CEF"/>
    <w:rsid w:val="00BE2D8E"/>
    <w:rsid w:val="00BE2E08"/>
    <w:rsid w:val="00BE333A"/>
    <w:rsid w:val="00BE3864"/>
    <w:rsid w:val="00BE38BD"/>
    <w:rsid w:val="00BE3BB6"/>
    <w:rsid w:val="00BE3C39"/>
    <w:rsid w:val="00BE3DC1"/>
    <w:rsid w:val="00BE45D1"/>
    <w:rsid w:val="00BE4729"/>
    <w:rsid w:val="00BE478F"/>
    <w:rsid w:val="00BE4814"/>
    <w:rsid w:val="00BE4817"/>
    <w:rsid w:val="00BE4979"/>
    <w:rsid w:val="00BE49F5"/>
    <w:rsid w:val="00BE54CA"/>
    <w:rsid w:val="00BE561A"/>
    <w:rsid w:val="00BE5938"/>
    <w:rsid w:val="00BE5D4C"/>
    <w:rsid w:val="00BE5F91"/>
    <w:rsid w:val="00BE6124"/>
    <w:rsid w:val="00BE61B3"/>
    <w:rsid w:val="00BE67EB"/>
    <w:rsid w:val="00BE68FA"/>
    <w:rsid w:val="00BE69F5"/>
    <w:rsid w:val="00BE6BA3"/>
    <w:rsid w:val="00BE7515"/>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C3"/>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6CD"/>
    <w:rsid w:val="00BF7B4F"/>
    <w:rsid w:val="00C00494"/>
    <w:rsid w:val="00C007E0"/>
    <w:rsid w:val="00C0089E"/>
    <w:rsid w:val="00C00DBF"/>
    <w:rsid w:val="00C01051"/>
    <w:rsid w:val="00C012A1"/>
    <w:rsid w:val="00C016BC"/>
    <w:rsid w:val="00C01EC8"/>
    <w:rsid w:val="00C02174"/>
    <w:rsid w:val="00C0265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4CA6"/>
    <w:rsid w:val="00C057E9"/>
    <w:rsid w:val="00C0588D"/>
    <w:rsid w:val="00C062B7"/>
    <w:rsid w:val="00C062CC"/>
    <w:rsid w:val="00C0632B"/>
    <w:rsid w:val="00C065B6"/>
    <w:rsid w:val="00C079F7"/>
    <w:rsid w:val="00C07A85"/>
    <w:rsid w:val="00C07B11"/>
    <w:rsid w:val="00C1019D"/>
    <w:rsid w:val="00C111A5"/>
    <w:rsid w:val="00C117BE"/>
    <w:rsid w:val="00C126B6"/>
    <w:rsid w:val="00C129B6"/>
    <w:rsid w:val="00C12D81"/>
    <w:rsid w:val="00C12D84"/>
    <w:rsid w:val="00C12EAE"/>
    <w:rsid w:val="00C13003"/>
    <w:rsid w:val="00C1301D"/>
    <w:rsid w:val="00C132ED"/>
    <w:rsid w:val="00C13BBF"/>
    <w:rsid w:val="00C13E24"/>
    <w:rsid w:val="00C142B6"/>
    <w:rsid w:val="00C14306"/>
    <w:rsid w:val="00C143AE"/>
    <w:rsid w:val="00C14CAB"/>
    <w:rsid w:val="00C15AA3"/>
    <w:rsid w:val="00C15AF6"/>
    <w:rsid w:val="00C15B3E"/>
    <w:rsid w:val="00C160C3"/>
    <w:rsid w:val="00C16156"/>
    <w:rsid w:val="00C167B7"/>
    <w:rsid w:val="00C16B50"/>
    <w:rsid w:val="00C16F95"/>
    <w:rsid w:val="00C1700F"/>
    <w:rsid w:val="00C172C3"/>
    <w:rsid w:val="00C17311"/>
    <w:rsid w:val="00C173BD"/>
    <w:rsid w:val="00C17596"/>
    <w:rsid w:val="00C204CF"/>
    <w:rsid w:val="00C20AC3"/>
    <w:rsid w:val="00C20B7F"/>
    <w:rsid w:val="00C20EE8"/>
    <w:rsid w:val="00C20F60"/>
    <w:rsid w:val="00C2105A"/>
    <w:rsid w:val="00C21185"/>
    <w:rsid w:val="00C214D0"/>
    <w:rsid w:val="00C21C7C"/>
    <w:rsid w:val="00C2210A"/>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07"/>
    <w:rsid w:val="00C27D7B"/>
    <w:rsid w:val="00C3004C"/>
    <w:rsid w:val="00C30246"/>
    <w:rsid w:val="00C30734"/>
    <w:rsid w:val="00C30846"/>
    <w:rsid w:val="00C30849"/>
    <w:rsid w:val="00C31015"/>
    <w:rsid w:val="00C3126F"/>
    <w:rsid w:val="00C31409"/>
    <w:rsid w:val="00C31B95"/>
    <w:rsid w:val="00C31C91"/>
    <w:rsid w:val="00C31CA2"/>
    <w:rsid w:val="00C31CE3"/>
    <w:rsid w:val="00C31D48"/>
    <w:rsid w:val="00C31DAF"/>
    <w:rsid w:val="00C321B3"/>
    <w:rsid w:val="00C3265A"/>
    <w:rsid w:val="00C329C7"/>
    <w:rsid w:val="00C32FCD"/>
    <w:rsid w:val="00C3311D"/>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293"/>
    <w:rsid w:val="00C41310"/>
    <w:rsid w:val="00C4134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0DD1"/>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4AC"/>
    <w:rsid w:val="00C555A3"/>
    <w:rsid w:val="00C559EF"/>
    <w:rsid w:val="00C56202"/>
    <w:rsid w:val="00C5633C"/>
    <w:rsid w:val="00C5684C"/>
    <w:rsid w:val="00C56A5C"/>
    <w:rsid w:val="00C56CCB"/>
    <w:rsid w:val="00C56F4F"/>
    <w:rsid w:val="00C57648"/>
    <w:rsid w:val="00C57889"/>
    <w:rsid w:val="00C57891"/>
    <w:rsid w:val="00C578DB"/>
    <w:rsid w:val="00C57903"/>
    <w:rsid w:val="00C579DB"/>
    <w:rsid w:val="00C579E0"/>
    <w:rsid w:val="00C60479"/>
    <w:rsid w:val="00C60520"/>
    <w:rsid w:val="00C60C6E"/>
    <w:rsid w:val="00C60F72"/>
    <w:rsid w:val="00C61071"/>
    <w:rsid w:val="00C61507"/>
    <w:rsid w:val="00C61637"/>
    <w:rsid w:val="00C61901"/>
    <w:rsid w:val="00C619C4"/>
    <w:rsid w:val="00C61A4C"/>
    <w:rsid w:val="00C61D95"/>
    <w:rsid w:val="00C6200C"/>
    <w:rsid w:val="00C62A19"/>
    <w:rsid w:val="00C62BF3"/>
    <w:rsid w:val="00C631F8"/>
    <w:rsid w:val="00C633AA"/>
    <w:rsid w:val="00C6348C"/>
    <w:rsid w:val="00C634A1"/>
    <w:rsid w:val="00C638AE"/>
    <w:rsid w:val="00C63C2C"/>
    <w:rsid w:val="00C63FCA"/>
    <w:rsid w:val="00C64080"/>
    <w:rsid w:val="00C64101"/>
    <w:rsid w:val="00C642AA"/>
    <w:rsid w:val="00C64689"/>
    <w:rsid w:val="00C646E5"/>
    <w:rsid w:val="00C64E91"/>
    <w:rsid w:val="00C65457"/>
    <w:rsid w:val="00C658AB"/>
    <w:rsid w:val="00C6615E"/>
    <w:rsid w:val="00C663BF"/>
    <w:rsid w:val="00C66443"/>
    <w:rsid w:val="00C6678F"/>
    <w:rsid w:val="00C66893"/>
    <w:rsid w:val="00C66C29"/>
    <w:rsid w:val="00C66F46"/>
    <w:rsid w:val="00C66F89"/>
    <w:rsid w:val="00C67020"/>
    <w:rsid w:val="00C67493"/>
    <w:rsid w:val="00C67B50"/>
    <w:rsid w:val="00C67EFD"/>
    <w:rsid w:val="00C7087D"/>
    <w:rsid w:val="00C70AE9"/>
    <w:rsid w:val="00C70B67"/>
    <w:rsid w:val="00C710F9"/>
    <w:rsid w:val="00C71131"/>
    <w:rsid w:val="00C71481"/>
    <w:rsid w:val="00C714DF"/>
    <w:rsid w:val="00C71631"/>
    <w:rsid w:val="00C71906"/>
    <w:rsid w:val="00C71907"/>
    <w:rsid w:val="00C71ACC"/>
    <w:rsid w:val="00C7204A"/>
    <w:rsid w:val="00C7223D"/>
    <w:rsid w:val="00C724E8"/>
    <w:rsid w:val="00C727DD"/>
    <w:rsid w:val="00C72D24"/>
    <w:rsid w:val="00C7301F"/>
    <w:rsid w:val="00C73957"/>
    <w:rsid w:val="00C73B34"/>
    <w:rsid w:val="00C744ED"/>
    <w:rsid w:val="00C75487"/>
    <w:rsid w:val="00C754DE"/>
    <w:rsid w:val="00C75663"/>
    <w:rsid w:val="00C756BD"/>
    <w:rsid w:val="00C757EA"/>
    <w:rsid w:val="00C75861"/>
    <w:rsid w:val="00C75A33"/>
    <w:rsid w:val="00C75F42"/>
    <w:rsid w:val="00C75FC0"/>
    <w:rsid w:val="00C76184"/>
    <w:rsid w:val="00C765FC"/>
    <w:rsid w:val="00C76F2E"/>
    <w:rsid w:val="00C770E3"/>
    <w:rsid w:val="00C77159"/>
    <w:rsid w:val="00C771AE"/>
    <w:rsid w:val="00C77CA7"/>
    <w:rsid w:val="00C77F58"/>
    <w:rsid w:val="00C805D2"/>
    <w:rsid w:val="00C808E0"/>
    <w:rsid w:val="00C80946"/>
    <w:rsid w:val="00C80B87"/>
    <w:rsid w:val="00C80BF5"/>
    <w:rsid w:val="00C80C16"/>
    <w:rsid w:val="00C80EE4"/>
    <w:rsid w:val="00C81439"/>
    <w:rsid w:val="00C81685"/>
    <w:rsid w:val="00C816E3"/>
    <w:rsid w:val="00C819B6"/>
    <w:rsid w:val="00C81BEB"/>
    <w:rsid w:val="00C81D30"/>
    <w:rsid w:val="00C81D3C"/>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55"/>
    <w:rsid w:val="00C9289A"/>
    <w:rsid w:val="00C92DEF"/>
    <w:rsid w:val="00C934CE"/>
    <w:rsid w:val="00C93A2E"/>
    <w:rsid w:val="00C9401C"/>
    <w:rsid w:val="00C94215"/>
    <w:rsid w:val="00C94AF8"/>
    <w:rsid w:val="00C94DB9"/>
    <w:rsid w:val="00C95747"/>
    <w:rsid w:val="00C95F25"/>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30BE"/>
    <w:rsid w:val="00CA38AB"/>
    <w:rsid w:val="00CA43C5"/>
    <w:rsid w:val="00CA43CA"/>
    <w:rsid w:val="00CA4488"/>
    <w:rsid w:val="00CA4610"/>
    <w:rsid w:val="00CA4883"/>
    <w:rsid w:val="00CA4DC7"/>
    <w:rsid w:val="00CA4E1C"/>
    <w:rsid w:val="00CA4F14"/>
    <w:rsid w:val="00CA4FC2"/>
    <w:rsid w:val="00CA531A"/>
    <w:rsid w:val="00CA54D4"/>
    <w:rsid w:val="00CA56B0"/>
    <w:rsid w:val="00CA5DC3"/>
    <w:rsid w:val="00CA6066"/>
    <w:rsid w:val="00CA624E"/>
    <w:rsid w:val="00CA63C1"/>
    <w:rsid w:val="00CA6424"/>
    <w:rsid w:val="00CA656B"/>
    <w:rsid w:val="00CA657A"/>
    <w:rsid w:val="00CA658E"/>
    <w:rsid w:val="00CA6E2A"/>
    <w:rsid w:val="00CA707A"/>
    <w:rsid w:val="00CA7395"/>
    <w:rsid w:val="00CA7529"/>
    <w:rsid w:val="00CA752A"/>
    <w:rsid w:val="00CA7636"/>
    <w:rsid w:val="00CA77A7"/>
    <w:rsid w:val="00CA7ADE"/>
    <w:rsid w:val="00CA7D04"/>
    <w:rsid w:val="00CA7E08"/>
    <w:rsid w:val="00CB0074"/>
    <w:rsid w:val="00CB0613"/>
    <w:rsid w:val="00CB064E"/>
    <w:rsid w:val="00CB071C"/>
    <w:rsid w:val="00CB0D34"/>
    <w:rsid w:val="00CB0E4E"/>
    <w:rsid w:val="00CB0F05"/>
    <w:rsid w:val="00CB0F7F"/>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51C"/>
    <w:rsid w:val="00CC0735"/>
    <w:rsid w:val="00CC0CC7"/>
    <w:rsid w:val="00CC1433"/>
    <w:rsid w:val="00CC1E9E"/>
    <w:rsid w:val="00CC212F"/>
    <w:rsid w:val="00CC2301"/>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4E45"/>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1CD2"/>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C2"/>
    <w:rsid w:val="00CE05F2"/>
    <w:rsid w:val="00CE08A3"/>
    <w:rsid w:val="00CE0AE4"/>
    <w:rsid w:val="00CE0D51"/>
    <w:rsid w:val="00CE0F7F"/>
    <w:rsid w:val="00CE0F85"/>
    <w:rsid w:val="00CE0FE2"/>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DA4"/>
    <w:rsid w:val="00CE7EE5"/>
    <w:rsid w:val="00CF0A8F"/>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E"/>
    <w:rsid w:val="00D05DFF"/>
    <w:rsid w:val="00D05E82"/>
    <w:rsid w:val="00D06119"/>
    <w:rsid w:val="00D06797"/>
    <w:rsid w:val="00D06A70"/>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7F5"/>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27"/>
    <w:rsid w:val="00D16644"/>
    <w:rsid w:val="00D16A07"/>
    <w:rsid w:val="00D16BDC"/>
    <w:rsid w:val="00D17136"/>
    <w:rsid w:val="00D17175"/>
    <w:rsid w:val="00D17295"/>
    <w:rsid w:val="00D17ABE"/>
    <w:rsid w:val="00D2010D"/>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57E5"/>
    <w:rsid w:val="00D263CB"/>
    <w:rsid w:val="00D26722"/>
    <w:rsid w:val="00D2674D"/>
    <w:rsid w:val="00D26D43"/>
    <w:rsid w:val="00D26F11"/>
    <w:rsid w:val="00D271E5"/>
    <w:rsid w:val="00D27D99"/>
    <w:rsid w:val="00D27EA4"/>
    <w:rsid w:val="00D30503"/>
    <w:rsid w:val="00D30ADD"/>
    <w:rsid w:val="00D30B55"/>
    <w:rsid w:val="00D30BCA"/>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B1C"/>
    <w:rsid w:val="00D40C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4AF"/>
    <w:rsid w:val="00D4655C"/>
    <w:rsid w:val="00D46BE2"/>
    <w:rsid w:val="00D47131"/>
    <w:rsid w:val="00D47215"/>
    <w:rsid w:val="00D472EB"/>
    <w:rsid w:val="00D47651"/>
    <w:rsid w:val="00D47680"/>
    <w:rsid w:val="00D476C2"/>
    <w:rsid w:val="00D4786E"/>
    <w:rsid w:val="00D47D7E"/>
    <w:rsid w:val="00D5012A"/>
    <w:rsid w:val="00D50471"/>
    <w:rsid w:val="00D504C2"/>
    <w:rsid w:val="00D50AB5"/>
    <w:rsid w:val="00D51000"/>
    <w:rsid w:val="00D51DBE"/>
    <w:rsid w:val="00D51E6F"/>
    <w:rsid w:val="00D52554"/>
    <w:rsid w:val="00D5264B"/>
    <w:rsid w:val="00D52B7C"/>
    <w:rsid w:val="00D53348"/>
    <w:rsid w:val="00D5344C"/>
    <w:rsid w:val="00D538E6"/>
    <w:rsid w:val="00D53918"/>
    <w:rsid w:val="00D53A22"/>
    <w:rsid w:val="00D53EE9"/>
    <w:rsid w:val="00D53F07"/>
    <w:rsid w:val="00D540B1"/>
    <w:rsid w:val="00D541BE"/>
    <w:rsid w:val="00D542FD"/>
    <w:rsid w:val="00D54502"/>
    <w:rsid w:val="00D54526"/>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3FF"/>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5F2A"/>
    <w:rsid w:val="00D662CE"/>
    <w:rsid w:val="00D665DD"/>
    <w:rsid w:val="00D66733"/>
    <w:rsid w:val="00D667CC"/>
    <w:rsid w:val="00D66E01"/>
    <w:rsid w:val="00D672DD"/>
    <w:rsid w:val="00D674AE"/>
    <w:rsid w:val="00D67A91"/>
    <w:rsid w:val="00D67DB1"/>
    <w:rsid w:val="00D700AA"/>
    <w:rsid w:val="00D703FE"/>
    <w:rsid w:val="00D705BD"/>
    <w:rsid w:val="00D707DD"/>
    <w:rsid w:val="00D70B05"/>
    <w:rsid w:val="00D70CCC"/>
    <w:rsid w:val="00D7210D"/>
    <w:rsid w:val="00D726EE"/>
    <w:rsid w:val="00D72B26"/>
    <w:rsid w:val="00D72F6D"/>
    <w:rsid w:val="00D731B2"/>
    <w:rsid w:val="00D73592"/>
    <w:rsid w:val="00D73677"/>
    <w:rsid w:val="00D736DA"/>
    <w:rsid w:val="00D7379E"/>
    <w:rsid w:val="00D739E9"/>
    <w:rsid w:val="00D73DF6"/>
    <w:rsid w:val="00D74062"/>
    <w:rsid w:val="00D74259"/>
    <w:rsid w:val="00D7430D"/>
    <w:rsid w:val="00D747D9"/>
    <w:rsid w:val="00D74B7C"/>
    <w:rsid w:val="00D74BED"/>
    <w:rsid w:val="00D74F41"/>
    <w:rsid w:val="00D75890"/>
    <w:rsid w:val="00D75A38"/>
    <w:rsid w:val="00D75AF7"/>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5B1"/>
    <w:rsid w:val="00D839E6"/>
    <w:rsid w:val="00D839F0"/>
    <w:rsid w:val="00D83FD7"/>
    <w:rsid w:val="00D84139"/>
    <w:rsid w:val="00D84346"/>
    <w:rsid w:val="00D84543"/>
    <w:rsid w:val="00D84810"/>
    <w:rsid w:val="00D84C0E"/>
    <w:rsid w:val="00D84E4A"/>
    <w:rsid w:val="00D8507C"/>
    <w:rsid w:val="00D850AC"/>
    <w:rsid w:val="00D8540D"/>
    <w:rsid w:val="00D85981"/>
    <w:rsid w:val="00D85D7C"/>
    <w:rsid w:val="00D85E87"/>
    <w:rsid w:val="00D863AE"/>
    <w:rsid w:val="00D86752"/>
    <w:rsid w:val="00D8681C"/>
    <w:rsid w:val="00D87215"/>
    <w:rsid w:val="00D87782"/>
    <w:rsid w:val="00D87849"/>
    <w:rsid w:val="00D8785C"/>
    <w:rsid w:val="00D87A88"/>
    <w:rsid w:val="00D87AA2"/>
    <w:rsid w:val="00D87B62"/>
    <w:rsid w:val="00D87FF0"/>
    <w:rsid w:val="00D90425"/>
    <w:rsid w:val="00D9044D"/>
    <w:rsid w:val="00D90E28"/>
    <w:rsid w:val="00D9103F"/>
    <w:rsid w:val="00D91057"/>
    <w:rsid w:val="00D91129"/>
    <w:rsid w:val="00D9206F"/>
    <w:rsid w:val="00D9222B"/>
    <w:rsid w:val="00D924BB"/>
    <w:rsid w:val="00D927FE"/>
    <w:rsid w:val="00D92CAF"/>
    <w:rsid w:val="00D92F46"/>
    <w:rsid w:val="00D936AE"/>
    <w:rsid w:val="00D93BA4"/>
    <w:rsid w:val="00D93BFF"/>
    <w:rsid w:val="00D93E55"/>
    <w:rsid w:val="00D9401C"/>
    <w:rsid w:val="00D948BC"/>
    <w:rsid w:val="00D94AFC"/>
    <w:rsid w:val="00D94CF3"/>
    <w:rsid w:val="00D94DEB"/>
    <w:rsid w:val="00D95259"/>
    <w:rsid w:val="00D95982"/>
    <w:rsid w:val="00D95D7E"/>
    <w:rsid w:val="00D95F55"/>
    <w:rsid w:val="00D96222"/>
    <w:rsid w:val="00D96EBC"/>
    <w:rsid w:val="00D97032"/>
    <w:rsid w:val="00D97204"/>
    <w:rsid w:val="00D977EB"/>
    <w:rsid w:val="00D97A92"/>
    <w:rsid w:val="00D97ADD"/>
    <w:rsid w:val="00D97BCA"/>
    <w:rsid w:val="00D97D65"/>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968"/>
    <w:rsid w:val="00DA5EB7"/>
    <w:rsid w:val="00DA6EB6"/>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B0B"/>
    <w:rsid w:val="00DB2C52"/>
    <w:rsid w:val="00DB33A5"/>
    <w:rsid w:val="00DB398E"/>
    <w:rsid w:val="00DB399C"/>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27"/>
    <w:rsid w:val="00DC30A1"/>
    <w:rsid w:val="00DC37CD"/>
    <w:rsid w:val="00DC3B8A"/>
    <w:rsid w:val="00DC41FC"/>
    <w:rsid w:val="00DC4313"/>
    <w:rsid w:val="00DC48D6"/>
    <w:rsid w:val="00DC4CB9"/>
    <w:rsid w:val="00DC4D00"/>
    <w:rsid w:val="00DC4E85"/>
    <w:rsid w:val="00DC5814"/>
    <w:rsid w:val="00DC5919"/>
    <w:rsid w:val="00DC5A4B"/>
    <w:rsid w:val="00DC5BE4"/>
    <w:rsid w:val="00DC6204"/>
    <w:rsid w:val="00DC626D"/>
    <w:rsid w:val="00DC627F"/>
    <w:rsid w:val="00DC62FE"/>
    <w:rsid w:val="00DC68B6"/>
    <w:rsid w:val="00DC690A"/>
    <w:rsid w:val="00DC6A85"/>
    <w:rsid w:val="00DC6AB5"/>
    <w:rsid w:val="00DC6F12"/>
    <w:rsid w:val="00DC735C"/>
    <w:rsid w:val="00DC7B92"/>
    <w:rsid w:val="00DC7BD1"/>
    <w:rsid w:val="00DD05DB"/>
    <w:rsid w:val="00DD0731"/>
    <w:rsid w:val="00DD0DF8"/>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D7A3E"/>
    <w:rsid w:val="00DE094D"/>
    <w:rsid w:val="00DE0C36"/>
    <w:rsid w:val="00DE1085"/>
    <w:rsid w:val="00DE1133"/>
    <w:rsid w:val="00DE1716"/>
    <w:rsid w:val="00DE17D4"/>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36"/>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603"/>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6E10"/>
    <w:rsid w:val="00DF74E8"/>
    <w:rsid w:val="00DF779E"/>
    <w:rsid w:val="00DF7BEE"/>
    <w:rsid w:val="00DF7FAC"/>
    <w:rsid w:val="00E003FF"/>
    <w:rsid w:val="00E00CEE"/>
    <w:rsid w:val="00E01A2F"/>
    <w:rsid w:val="00E01A9C"/>
    <w:rsid w:val="00E01B97"/>
    <w:rsid w:val="00E01F30"/>
    <w:rsid w:val="00E01FE2"/>
    <w:rsid w:val="00E0220D"/>
    <w:rsid w:val="00E02610"/>
    <w:rsid w:val="00E02811"/>
    <w:rsid w:val="00E0291D"/>
    <w:rsid w:val="00E039C2"/>
    <w:rsid w:val="00E03A7C"/>
    <w:rsid w:val="00E03B76"/>
    <w:rsid w:val="00E03CF2"/>
    <w:rsid w:val="00E03D12"/>
    <w:rsid w:val="00E03F6C"/>
    <w:rsid w:val="00E040F8"/>
    <w:rsid w:val="00E040FC"/>
    <w:rsid w:val="00E041D8"/>
    <w:rsid w:val="00E04351"/>
    <w:rsid w:val="00E044B1"/>
    <w:rsid w:val="00E04EF0"/>
    <w:rsid w:val="00E0525B"/>
    <w:rsid w:val="00E0525F"/>
    <w:rsid w:val="00E054CE"/>
    <w:rsid w:val="00E05869"/>
    <w:rsid w:val="00E062B5"/>
    <w:rsid w:val="00E0640B"/>
    <w:rsid w:val="00E06527"/>
    <w:rsid w:val="00E06723"/>
    <w:rsid w:val="00E06973"/>
    <w:rsid w:val="00E06C0A"/>
    <w:rsid w:val="00E07140"/>
    <w:rsid w:val="00E0782E"/>
    <w:rsid w:val="00E07A91"/>
    <w:rsid w:val="00E07D8A"/>
    <w:rsid w:val="00E10643"/>
    <w:rsid w:val="00E10D6C"/>
    <w:rsid w:val="00E11F8E"/>
    <w:rsid w:val="00E120F1"/>
    <w:rsid w:val="00E1249C"/>
    <w:rsid w:val="00E12591"/>
    <w:rsid w:val="00E12F2F"/>
    <w:rsid w:val="00E13729"/>
    <w:rsid w:val="00E1382C"/>
    <w:rsid w:val="00E139CB"/>
    <w:rsid w:val="00E142FE"/>
    <w:rsid w:val="00E1485E"/>
    <w:rsid w:val="00E157E2"/>
    <w:rsid w:val="00E162C2"/>
    <w:rsid w:val="00E16307"/>
    <w:rsid w:val="00E16382"/>
    <w:rsid w:val="00E16FF8"/>
    <w:rsid w:val="00E1720B"/>
    <w:rsid w:val="00E17227"/>
    <w:rsid w:val="00E172BE"/>
    <w:rsid w:val="00E178C2"/>
    <w:rsid w:val="00E1790C"/>
    <w:rsid w:val="00E17E57"/>
    <w:rsid w:val="00E207AD"/>
    <w:rsid w:val="00E20A4C"/>
    <w:rsid w:val="00E20E1F"/>
    <w:rsid w:val="00E20F96"/>
    <w:rsid w:val="00E21315"/>
    <w:rsid w:val="00E2134F"/>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B24"/>
    <w:rsid w:val="00E26E1C"/>
    <w:rsid w:val="00E271AE"/>
    <w:rsid w:val="00E2740F"/>
    <w:rsid w:val="00E2762A"/>
    <w:rsid w:val="00E279F5"/>
    <w:rsid w:val="00E27AE1"/>
    <w:rsid w:val="00E3022E"/>
    <w:rsid w:val="00E30720"/>
    <w:rsid w:val="00E307D1"/>
    <w:rsid w:val="00E30D20"/>
    <w:rsid w:val="00E30DAD"/>
    <w:rsid w:val="00E313A3"/>
    <w:rsid w:val="00E318BC"/>
    <w:rsid w:val="00E31EA6"/>
    <w:rsid w:val="00E32141"/>
    <w:rsid w:val="00E3216A"/>
    <w:rsid w:val="00E32585"/>
    <w:rsid w:val="00E32A31"/>
    <w:rsid w:val="00E32A94"/>
    <w:rsid w:val="00E32C44"/>
    <w:rsid w:val="00E32DAA"/>
    <w:rsid w:val="00E32F90"/>
    <w:rsid w:val="00E32FBC"/>
    <w:rsid w:val="00E3311E"/>
    <w:rsid w:val="00E331A2"/>
    <w:rsid w:val="00E333FC"/>
    <w:rsid w:val="00E33C0E"/>
    <w:rsid w:val="00E34105"/>
    <w:rsid w:val="00E34142"/>
    <w:rsid w:val="00E34268"/>
    <w:rsid w:val="00E342A6"/>
    <w:rsid w:val="00E3461B"/>
    <w:rsid w:val="00E34633"/>
    <w:rsid w:val="00E34991"/>
    <w:rsid w:val="00E34DA7"/>
    <w:rsid w:val="00E34E28"/>
    <w:rsid w:val="00E34EDA"/>
    <w:rsid w:val="00E360B7"/>
    <w:rsid w:val="00E36430"/>
    <w:rsid w:val="00E36A9D"/>
    <w:rsid w:val="00E36B61"/>
    <w:rsid w:val="00E3715C"/>
    <w:rsid w:val="00E37302"/>
    <w:rsid w:val="00E37746"/>
    <w:rsid w:val="00E37A8D"/>
    <w:rsid w:val="00E37B62"/>
    <w:rsid w:val="00E37D8D"/>
    <w:rsid w:val="00E400ED"/>
    <w:rsid w:val="00E402F0"/>
    <w:rsid w:val="00E40B1F"/>
    <w:rsid w:val="00E40C88"/>
    <w:rsid w:val="00E40E01"/>
    <w:rsid w:val="00E416F6"/>
    <w:rsid w:val="00E41D0A"/>
    <w:rsid w:val="00E41D55"/>
    <w:rsid w:val="00E41EFC"/>
    <w:rsid w:val="00E41FB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2"/>
    <w:rsid w:val="00E45919"/>
    <w:rsid w:val="00E45EB8"/>
    <w:rsid w:val="00E46258"/>
    <w:rsid w:val="00E46482"/>
    <w:rsid w:val="00E46670"/>
    <w:rsid w:val="00E46833"/>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6E7"/>
    <w:rsid w:val="00E529C6"/>
    <w:rsid w:val="00E52BDE"/>
    <w:rsid w:val="00E52EA3"/>
    <w:rsid w:val="00E533B2"/>
    <w:rsid w:val="00E537C5"/>
    <w:rsid w:val="00E53894"/>
    <w:rsid w:val="00E539E2"/>
    <w:rsid w:val="00E54141"/>
    <w:rsid w:val="00E54634"/>
    <w:rsid w:val="00E54B01"/>
    <w:rsid w:val="00E54C3A"/>
    <w:rsid w:val="00E55AAB"/>
    <w:rsid w:val="00E55B25"/>
    <w:rsid w:val="00E55D8A"/>
    <w:rsid w:val="00E55E4B"/>
    <w:rsid w:val="00E561C6"/>
    <w:rsid w:val="00E56B10"/>
    <w:rsid w:val="00E570E0"/>
    <w:rsid w:val="00E571B0"/>
    <w:rsid w:val="00E572B0"/>
    <w:rsid w:val="00E57665"/>
    <w:rsid w:val="00E604CE"/>
    <w:rsid w:val="00E606F8"/>
    <w:rsid w:val="00E60D0E"/>
    <w:rsid w:val="00E60D47"/>
    <w:rsid w:val="00E6102D"/>
    <w:rsid w:val="00E61042"/>
    <w:rsid w:val="00E61321"/>
    <w:rsid w:val="00E61407"/>
    <w:rsid w:val="00E61543"/>
    <w:rsid w:val="00E61886"/>
    <w:rsid w:val="00E61F08"/>
    <w:rsid w:val="00E61F19"/>
    <w:rsid w:val="00E62296"/>
    <w:rsid w:val="00E62F88"/>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40B"/>
    <w:rsid w:val="00E7062C"/>
    <w:rsid w:val="00E708E9"/>
    <w:rsid w:val="00E7187A"/>
    <w:rsid w:val="00E71A37"/>
    <w:rsid w:val="00E720E5"/>
    <w:rsid w:val="00E7210E"/>
    <w:rsid w:val="00E72AE6"/>
    <w:rsid w:val="00E72FE4"/>
    <w:rsid w:val="00E73B09"/>
    <w:rsid w:val="00E73C44"/>
    <w:rsid w:val="00E73EED"/>
    <w:rsid w:val="00E741AA"/>
    <w:rsid w:val="00E741AD"/>
    <w:rsid w:val="00E741BF"/>
    <w:rsid w:val="00E74744"/>
    <w:rsid w:val="00E75707"/>
    <w:rsid w:val="00E75810"/>
    <w:rsid w:val="00E75C0A"/>
    <w:rsid w:val="00E75D4C"/>
    <w:rsid w:val="00E75DC2"/>
    <w:rsid w:val="00E76267"/>
    <w:rsid w:val="00E762C6"/>
    <w:rsid w:val="00E76410"/>
    <w:rsid w:val="00E7654F"/>
    <w:rsid w:val="00E767A7"/>
    <w:rsid w:val="00E76A7B"/>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368"/>
    <w:rsid w:val="00E869D0"/>
    <w:rsid w:val="00E86D31"/>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EDB"/>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CD4"/>
    <w:rsid w:val="00E95D3F"/>
    <w:rsid w:val="00E96209"/>
    <w:rsid w:val="00E962F8"/>
    <w:rsid w:val="00E96C03"/>
    <w:rsid w:val="00E96C7B"/>
    <w:rsid w:val="00E96D54"/>
    <w:rsid w:val="00E96DAC"/>
    <w:rsid w:val="00E96DB0"/>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0FA"/>
    <w:rsid w:val="00EB36C9"/>
    <w:rsid w:val="00EB3BAC"/>
    <w:rsid w:val="00EB4557"/>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0E1"/>
    <w:rsid w:val="00EC026E"/>
    <w:rsid w:val="00EC04A4"/>
    <w:rsid w:val="00EC132A"/>
    <w:rsid w:val="00EC1343"/>
    <w:rsid w:val="00EC137F"/>
    <w:rsid w:val="00EC1501"/>
    <w:rsid w:val="00EC16DE"/>
    <w:rsid w:val="00EC18C0"/>
    <w:rsid w:val="00EC1BA2"/>
    <w:rsid w:val="00EC1CE3"/>
    <w:rsid w:val="00EC1D97"/>
    <w:rsid w:val="00EC265A"/>
    <w:rsid w:val="00EC2826"/>
    <w:rsid w:val="00EC289F"/>
    <w:rsid w:val="00EC2914"/>
    <w:rsid w:val="00EC2F4D"/>
    <w:rsid w:val="00EC30E6"/>
    <w:rsid w:val="00EC3114"/>
    <w:rsid w:val="00EC311A"/>
    <w:rsid w:val="00EC3316"/>
    <w:rsid w:val="00EC3A21"/>
    <w:rsid w:val="00EC3ED4"/>
    <w:rsid w:val="00EC42AA"/>
    <w:rsid w:val="00EC433F"/>
    <w:rsid w:val="00EC4653"/>
    <w:rsid w:val="00EC4948"/>
    <w:rsid w:val="00EC4A6C"/>
    <w:rsid w:val="00EC4E73"/>
    <w:rsid w:val="00EC52A4"/>
    <w:rsid w:val="00EC57CA"/>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1A4"/>
    <w:rsid w:val="00ED19A9"/>
    <w:rsid w:val="00ED1B7E"/>
    <w:rsid w:val="00ED244B"/>
    <w:rsid w:val="00ED267F"/>
    <w:rsid w:val="00ED2991"/>
    <w:rsid w:val="00ED39C7"/>
    <w:rsid w:val="00ED44C2"/>
    <w:rsid w:val="00ED5218"/>
    <w:rsid w:val="00ED53D9"/>
    <w:rsid w:val="00ED56E5"/>
    <w:rsid w:val="00ED59A1"/>
    <w:rsid w:val="00ED5C4B"/>
    <w:rsid w:val="00ED6252"/>
    <w:rsid w:val="00ED6955"/>
    <w:rsid w:val="00ED6E38"/>
    <w:rsid w:val="00ED738E"/>
    <w:rsid w:val="00ED7823"/>
    <w:rsid w:val="00ED784F"/>
    <w:rsid w:val="00EE0440"/>
    <w:rsid w:val="00EE09EB"/>
    <w:rsid w:val="00EE0AEC"/>
    <w:rsid w:val="00EE0BE4"/>
    <w:rsid w:val="00EE0D68"/>
    <w:rsid w:val="00EE0D8D"/>
    <w:rsid w:val="00EE0DD3"/>
    <w:rsid w:val="00EE10A4"/>
    <w:rsid w:val="00EE11AD"/>
    <w:rsid w:val="00EE18EC"/>
    <w:rsid w:val="00EE1EEB"/>
    <w:rsid w:val="00EE2A34"/>
    <w:rsid w:val="00EE33F6"/>
    <w:rsid w:val="00EE3B8A"/>
    <w:rsid w:val="00EE3C4B"/>
    <w:rsid w:val="00EE3E10"/>
    <w:rsid w:val="00EE3E20"/>
    <w:rsid w:val="00EE4175"/>
    <w:rsid w:val="00EE4306"/>
    <w:rsid w:val="00EE4BDF"/>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1974"/>
    <w:rsid w:val="00EF1D7F"/>
    <w:rsid w:val="00EF21F3"/>
    <w:rsid w:val="00EF2524"/>
    <w:rsid w:val="00EF2AE2"/>
    <w:rsid w:val="00EF2B8A"/>
    <w:rsid w:val="00EF2FEA"/>
    <w:rsid w:val="00EF303C"/>
    <w:rsid w:val="00EF314A"/>
    <w:rsid w:val="00EF3221"/>
    <w:rsid w:val="00EF3657"/>
    <w:rsid w:val="00EF38BD"/>
    <w:rsid w:val="00EF3C25"/>
    <w:rsid w:val="00EF4022"/>
    <w:rsid w:val="00EF4310"/>
    <w:rsid w:val="00EF48C7"/>
    <w:rsid w:val="00EF4DC4"/>
    <w:rsid w:val="00EF5557"/>
    <w:rsid w:val="00EF5563"/>
    <w:rsid w:val="00EF5DBE"/>
    <w:rsid w:val="00EF671E"/>
    <w:rsid w:val="00EF67AC"/>
    <w:rsid w:val="00EF67BA"/>
    <w:rsid w:val="00EF6C39"/>
    <w:rsid w:val="00EF6C9C"/>
    <w:rsid w:val="00EF744B"/>
    <w:rsid w:val="00EF795E"/>
    <w:rsid w:val="00EF7A48"/>
    <w:rsid w:val="00F00159"/>
    <w:rsid w:val="00F001C1"/>
    <w:rsid w:val="00F0022C"/>
    <w:rsid w:val="00F00C09"/>
    <w:rsid w:val="00F00DA2"/>
    <w:rsid w:val="00F00EB3"/>
    <w:rsid w:val="00F01686"/>
    <w:rsid w:val="00F019DD"/>
    <w:rsid w:val="00F01A12"/>
    <w:rsid w:val="00F01A1F"/>
    <w:rsid w:val="00F01CB1"/>
    <w:rsid w:val="00F0255A"/>
    <w:rsid w:val="00F02591"/>
    <w:rsid w:val="00F026E3"/>
    <w:rsid w:val="00F03233"/>
    <w:rsid w:val="00F03376"/>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39C"/>
    <w:rsid w:val="00F07587"/>
    <w:rsid w:val="00F076DE"/>
    <w:rsid w:val="00F078F4"/>
    <w:rsid w:val="00F07EBC"/>
    <w:rsid w:val="00F10544"/>
    <w:rsid w:val="00F1055A"/>
    <w:rsid w:val="00F10972"/>
    <w:rsid w:val="00F10D93"/>
    <w:rsid w:val="00F10E94"/>
    <w:rsid w:val="00F10F2A"/>
    <w:rsid w:val="00F112F1"/>
    <w:rsid w:val="00F11636"/>
    <w:rsid w:val="00F117C2"/>
    <w:rsid w:val="00F11818"/>
    <w:rsid w:val="00F120DD"/>
    <w:rsid w:val="00F120EF"/>
    <w:rsid w:val="00F12358"/>
    <w:rsid w:val="00F123DA"/>
    <w:rsid w:val="00F125E6"/>
    <w:rsid w:val="00F125E9"/>
    <w:rsid w:val="00F12A41"/>
    <w:rsid w:val="00F12A6C"/>
    <w:rsid w:val="00F1312B"/>
    <w:rsid w:val="00F13155"/>
    <w:rsid w:val="00F13941"/>
    <w:rsid w:val="00F13B2C"/>
    <w:rsid w:val="00F14405"/>
    <w:rsid w:val="00F1445F"/>
    <w:rsid w:val="00F145DF"/>
    <w:rsid w:val="00F14CF3"/>
    <w:rsid w:val="00F1521E"/>
    <w:rsid w:val="00F15557"/>
    <w:rsid w:val="00F15B58"/>
    <w:rsid w:val="00F15E7B"/>
    <w:rsid w:val="00F16516"/>
    <w:rsid w:val="00F16E53"/>
    <w:rsid w:val="00F16EED"/>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66F"/>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2A9"/>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767"/>
    <w:rsid w:val="00F4087C"/>
    <w:rsid w:val="00F409D3"/>
    <w:rsid w:val="00F41056"/>
    <w:rsid w:val="00F4129E"/>
    <w:rsid w:val="00F41311"/>
    <w:rsid w:val="00F41C1F"/>
    <w:rsid w:val="00F41CFB"/>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0FD"/>
    <w:rsid w:val="00F56921"/>
    <w:rsid w:val="00F56C09"/>
    <w:rsid w:val="00F56E8D"/>
    <w:rsid w:val="00F57493"/>
    <w:rsid w:val="00F57A00"/>
    <w:rsid w:val="00F57CC0"/>
    <w:rsid w:val="00F57F2E"/>
    <w:rsid w:val="00F600A1"/>
    <w:rsid w:val="00F601F7"/>
    <w:rsid w:val="00F60493"/>
    <w:rsid w:val="00F60920"/>
    <w:rsid w:val="00F6097F"/>
    <w:rsid w:val="00F60A64"/>
    <w:rsid w:val="00F60E3A"/>
    <w:rsid w:val="00F6173D"/>
    <w:rsid w:val="00F61B3D"/>
    <w:rsid w:val="00F61F08"/>
    <w:rsid w:val="00F61FAC"/>
    <w:rsid w:val="00F622AE"/>
    <w:rsid w:val="00F62921"/>
    <w:rsid w:val="00F62DE2"/>
    <w:rsid w:val="00F63470"/>
    <w:rsid w:val="00F63A1C"/>
    <w:rsid w:val="00F63B12"/>
    <w:rsid w:val="00F64357"/>
    <w:rsid w:val="00F6435A"/>
    <w:rsid w:val="00F644FC"/>
    <w:rsid w:val="00F64787"/>
    <w:rsid w:val="00F6479D"/>
    <w:rsid w:val="00F64838"/>
    <w:rsid w:val="00F64D3A"/>
    <w:rsid w:val="00F64EDB"/>
    <w:rsid w:val="00F64FA2"/>
    <w:rsid w:val="00F65326"/>
    <w:rsid w:val="00F65423"/>
    <w:rsid w:val="00F655D3"/>
    <w:rsid w:val="00F65882"/>
    <w:rsid w:val="00F658A6"/>
    <w:rsid w:val="00F65A1A"/>
    <w:rsid w:val="00F65AA0"/>
    <w:rsid w:val="00F65AF9"/>
    <w:rsid w:val="00F65EAC"/>
    <w:rsid w:val="00F65FED"/>
    <w:rsid w:val="00F660E2"/>
    <w:rsid w:val="00F663D9"/>
    <w:rsid w:val="00F665FF"/>
    <w:rsid w:val="00F669FB"/>
    <w:rsid w:val="00F66CA3"/>
    <w:rsid w:val="00F66E61"/>
    <w:rsid w:val="00F6747A"/>
    <w:rsid w:val="00F67B78"/>
    <w:rsid w:val="00F67BF8"/>
    <w:rsid w:val="00F67C75"/>
    <w:rsid w:val="00F70006"/>
    <w:rsid w:val="00F70959"/>
    <w:rsid w:val="00F70BAD"/>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1D6"/>
    <w:rsid w:val="00F734D8"/>
    <w:rsid w:val="00F73588"/>
    <w:rsid w:val="00F735E9"/>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1A"/>
    <w:rsid w:val="00F8416D"/>
    <w:rsid w:val="00F84260"/>
    <w:rsid w:val="00F843FE"/>
    <w:rsid w:val="00F8463D"/>
    <w:rsid w:val="00F84B72"/>
    <w:rsid w:val="00F85233"/>
    <w:rsid w:val="00F853D9"/>
    <w:rsid w:val="00F855AF"/>
    <w:rsid w:val="00F857A5"/>
    <w:rsid w:val="00F85C31"/>
    <w:rsid w:val="00F86C85"/>
    <w:rsid w:val="00F87011"/>
    <w:rsid w:val="00F872E7"/>
    <w:rsid w:val="00F87652"/>
    <w:rsid w:val="00F87AD3"/>
    <w:rsid w:val="00F87B0B"/>
    <w:rsid w:val="00F87DA4"/>
    <w:rsid w:val="00F87EE7"/>
    <w:rsid w:val="00F90560"/>
    <w:rsid w:val="00F90ACB"/>
    <w:rsid w:val="00F90E15"/>
    <w:rsid w:val="00F910F3"/>
    <w:rsid w:val="00F913FB"/>
    <w:rsid w:val="00F915FC"/>
    <w:rsid w:val="00F91D33"/>
    <w:rsid w:val="00F91DDB"/>
    <w:rsid w:val="00F92774"/>
    <w:rsid w:val="00F92ECE"/>
    <w:rsid w:val="00F9363F"/>
    <w:rsid w:val="00F939DD"/>
    <w:rsid w:val="00F93ACE"/>
    <w:rsid w:val="00F94049"/>
    <w:rsid w:val="00F9419E"/>
    <w:rsid w:val="00F94C9A"/>
    <w:rsid w:val="00F94CBD"/>
    <w:rsid w:val="00F95BC4"/>
    <w:rsid w:val="00F961AB"/>
    <w:rsid w:val="00F962FE"/>
    <w:rsid w:val="00F9652D"/>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5B0"/>
    <w:rsid w:val="00FA6651"/>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347"/>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DC6"/>
    <w:rsid w:val="00FC42A3"/>
    <w:rsid w:val="00FC488D"/>
    <w:rsid w:val="00FC4D61"/>
    <w:rsid w:val="00FC50CD"/>
    <w:rsid w:val="00FC52E7"/>
    <w:rsid w:val="00FC54C0"/>
    <w:rsid w:val="00FC5AE4"/>
    <w:rsid w:val="00FC5B55"/>
    <w:rsid w:val="00FC658C"/>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4CC"/>
    <w:rsid w:val="00FD1926"/>
    <w:rsid w:val="00FD1986"/>
    <w:rsid w:val="00FD1BE0"/>
    <w:rsid w:val="00FD1DCE"/>
    <w:rsid w:val="00FD2049"/>
    <w:rsid w:val="00FD2982"/>
    <w:rsid w:val="00FD2B38"/>
    <w:rsid w:val="00FD2E63"/>
    <w:rsid w:val="00FD2EC3"/>
    <w:rsid w:val="00FD2EFA"/>
    <w:rsid w:val="00FD3495"/>
    <w:rsid w:val="00FD3BC6"/>
    <w:rsid w:val="00FD425B"/>
    <w:rsid w:val="00FD42E7"/>
    <w:rsid w:val="00FD4852"/>
    <w:rsid w:val="00FD4A11"/>
    <w:rsid w:val="00FD4D01"/>
    <w:rsid w:val="00FD4E1E"/>
    <w:rsid w:val="00FD4F12"/>
    <w:rsid w:val="00FD4F20"/>
    <w:rsid w:val="00FD5D3B"/>
    <w:rsid w:val="00FD6342"/>
    <w:rsid w:val="00FD6371"/>
    <w:rsid w:val="00FD638D"/>
    <w:rsid w:val="00FD6708"/>
    <w:rsid w:val="00FD6A7C"/>
    <w:rsid w:val="00FE0725"/>
    <w:rsid w:val="00FE08A4"/>
    <w:rsid w:val="00FE0FD2"/>
    <w:rsid w:val="00FE131C"/>
    <w:rsid w:val="00FE1533"/>
    <w:rsid w:val="00FE1784"/>
    <w:rsid w:val="00FE18D3"/>
    <w:rsid w:val="00FE1AF4"/>
    <w:rsid w:val="00FE1F44"/>
    <w:rsid w:val="00FE2788"/>
    <w:rsid w:val="00FE2976"/>
    <w:rsid w:val="00FE2B66"/>
    <w:rsid w:val="00FE30B7"/>
    <w:rsid w:val="00FE3AAB"/>
    <w:rsid w:val="00FE3C63"/>
    <w:rsid w:val="00FE3D94"/>
    <w:rsid w:val="00FE3FF0"/>
    <w:rsid w:val="00FE54C1"/>
    <w:rsid w:val="00FE59B6"/>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A57"/>
    <w:rsid w:val="00FF2FB9"/>
    <w:rsid w:val="00FF3104"/>
    <w:rsid w:val="00FF3416"/>
    <w:rsid w:val="00FF35E6"/>
    <w:rsid w:val="00FF3702"/>
    <w:rsid w:val="00FF3AA1"/>
    <w:rsid w:val="00FF3AE3"/>
    <w:rsid w:val="00FF3EA7"/>
    <w:rsid w:val="00FF410F"/>
    <w:rsid w:val="00FF4467"/>
    <w:rsid w:val="00FF472B"/>
    <w:rsid w:val="00FF4D58"/>
    <w:rsid w:val="00FF4D76"/>
    <w:rsid w:val="00FF4F95"/>
    <w:rsid w:val="00FF512F"/>
    <w:rsid w:val="00FF51AF"/>
    <w:rsid w:val="00FF5412"/>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30E8C49"/>
    <w:rsid w:val="2F123C0A"/>
    <w:rsid w:val="2FB70902"/>
    <w:rsid w:val="382E60D7"/>
    <w:rsid w:val="3EC537D9"/>
    <w:rsid w:val="4E2E8249"/>
    <w:rsid w:val="553A7736"/>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1D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qFormat/>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99"/>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NoSpacing">
    <w:name w:val="No Spacing"/>
    <w:uiPriority w:val="99"/>
    <w:qFormat/>
    <w:rsid w:val="008C0AA2"/>
    <w:rPr>
      <w:rFonts w:eastAsia="Times New Roman"/>
      <w:szCs w:val="24"/>
      <w:lang w:eastAsia="en-US"/>
    </w:rPr>
  </w:style>
  <w:style w:type="character" w:customStyle="1" w:styleId="tabchar">
    <w:name w:val="tabchar"/>
    <w:basedOn w:val="DefaultParagraphFont"/>
    <w:rsid w:val="00770848"/>
  </w:style>
  <w:style w:type="character" w:customStyle="1" w:styleId="cf01">
    <w:name w:val="cf01"/>
    <w:basedOn w:val="DefaultParagraphFont"/>
    <w:rsid w:val="009C5D2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9966391">
      <w:bodyDiv w:val="1"/>
      <w:marLeft w:val="0"/>
      <w:marRight w:val="0"/>
      <w:marTop w:val="0"/>
      <w:marBottom w:val="0"/>
      <w:divBdr>
        <w:top w:val="none" w:sz="0" w:space="0" w:color="auto"/>
        <w:left w:val="none" w:sz="0" w:space="0" w:color="auto"/>
        <w:bottom w:val="none" w:sz="0" w:space="0" w:color="auto"/>
        <w:right w:val="none" w:sz="0" w:space="0" w:color="auto"/>
      </w:divBdr>
      <w:divsChild>
        <w:div w:id="2006473458">
          <w:marLeft w:val="0"/>
          <w:marRight w:val="0"/>
          <w:marTop w:val="0"/>
          <w:marBottom w:val="0"/>
          <w:divBdr>
            <w:top w:val="none" w:sz="0" w:space="0" w:color="auto"/>
            <w:left w:val="none" w:sz="0" w:space="0" w:color="auto"/>
            <w:bottom w:val="none" w:sz="0" w:space="0" w:color="auto"/>
            <w:right w:val="none" w:sz="0" w:space="0" w:color="auto"/>
          </w:divBdr>
        </w:div>
        <w:div w:id="603656221">
          <w:marLeft w:val="0"/>
          <w:marRight w:val="0"/>
          <w:marTop w:val="0"/>
          <w:marBottom w:val="0"/>
          <w:divBdr>
            <w:top w:val="none" w:sz="0" w:space="0" w:color="auto"/>
            <w:left w:val="none" w:sz="0" w:space="0" w:color="auto"/>
            <w:bottom w:val="none" w:sz="0" w:space="0" w:color="auto"/>
            <w:right w:val="none" w:sz="0" w:space="0" w:color="auto"/>
          </w:divBdr>
        </w:div>
        <w:div w:id="1126460526">
          <w:marLeft w:val="0"/>
          <w:marRight w:val="0"/>
          <w:marTop w:val="0"/>
          <w:marBottom w:val="0"/>
          <w:divBdr>
            <w:top w:val="none" w:sz="0" w:space="0" w:color="auto"/>
            <w:left w:val="none" w:sz="0" w:space="0" w:color="auto"/>
            <w:bottom w:val="none" w:sz="0" w:space="0" w:color="auto"/>
            <w:right w:val="none" w:sz="0" w:space="0" w:color="auto"/>
          </w:divBdr>
        </w:div>
        <w:div w:id="1500803744">
          <w:marLeft w:val="0"/>
          <w:marRight w:val="0"/>
          <w:marTop w:val="0"/>
          <w:marBottom w:val="0"/>
          <w:divBdr>
            <w:top w:val="none" w:sz="0" w:space="0" w:color="auto"/>
            <w:left w:val="none" w:sz="0" w:space="0" w:color="auto"/>
            <w:bottom w:val="none" w:sz="0" w:space="0" w:color="auto"/>
            <w:right w:val="none" w:sz="0" w:space="0" w:color="auto"/>
          </w:divBdr>
        </w:div>
      </w:divsChild>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688595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4738137">
      <w:bodyDiv w:val="1"/>
      <w:marLeft w:val="0"/>
      <w:marRight w:val="0"/>
      <w:marTop w:val="0"/>
      <w:marBottom w:val="0"/>
      <w:divBdr>
        <w:top w:val="none" w:sz="0" w:space="0" w:color="auto"/>
        <w:left w:val="none" w:sz="0" w:space="0" w:color="auto"/>
        <w:bottom w:val="none" w:sz="0" w:space="0" w:color="auto"/>
        <w:right w:val="none" w:sz="0" w:space="0" w:color="auto"/>
      </w:divBdr>
      <w:divsChild>
        <w:div w:id="144199187">
          <w:marLeft w:val="0"/>
          <w:marRight w:val="0"/>
          <w:marTop w:val="0"/>
          <w:marBottom w:val="0"/>
          <w:divBdr>
            <w:top w:val="none" w:sz="0" w:space="0" w:color="auto"/>
            <w:left w:val="none" w:sz="0" w:space="0" w:color="auto"/>
            <w:bottom w:val="none" w:sz="0" w:space="0" w:color="auto"/>
            <w:right w:val="none" w:sz="0" w:space="0" w:color="auto"/>
          </w:divBdr>
          <w:divsChild>
            <w:div w:id="207838036">
              <w:marLeft w:val="0"/>
              <w:marRight w:val="0"/>
              <w:marTop w:val="0"/>
              <w:marBottom w:val="0"/>
              <w:divBdr>
                <w:top w:val="none" w:sz="0" w:space="0" w:color="auto"/>
                <w:left w:val="none" w:sz="0" w:space="0" w:color="auto"/>
                <w:bottom w:val="none" w:sz="0" w:space="0" w:color="auto"/>
                <w:right w:val="none" w:sz="0" w:space="0" w:color="auto"/>
              </w:divBdr>
            </w:div>
            <w:div w:id="906495352">
              <w:marLeft w:val="0"/>
              <w:marRight w:val="0"/>
              <w:marTop w:val="0"/>
              <w:marBottom w:val="0"/>
              <w:divBdr>
                <w:top w:val="none" w:sz="0" w:space="0" w:color="auto"/>
                <w:left w:val="none" w:sz="0" w:space="0" w:color="auto"/>
                <w:bottom w:val="none" w:sz="0" w:space="0" w:color="auto"/>
                <w:right w:val="none" w:sz="0" w:space="0" w:color="auto"/>
              </w:divBdr>
            </w:div>
            <w:div w:id="1239749090">
              <w:marLeft w:val="0"/>
              <w:marRight w:val="0"/>
              <w:marTop w:val="0"/>
              <w:marBottom w:val="0"/>
              <w:divBdr>
                <w:top w:val="none" w:sz="0" w:space="0" w:color="auto"/>
                <w:left w:val="none" w:sz="0" w:space="0" w:color="auto"/>
                <w:bottom w:val="none" w:sz="0" w:space="0" w:color="auto"/>
                <w:right w:val="none" w:sz="0" w:space="0" w:color="auto"/>
              </w:divBdr>
            </w:div>
            <w:div w:id="527256466">
              <w:marLeft w:val="0"/>
              <w:marRight w:val="0"/>
              <w:marTop w:val="0"/>
              <w:marBottom w:val="0"/>
              <w:divBdr>
                <w:top w:val="none" w:sz="0" w:space="0" w:color="auto"/>
                <w:left w:val="none" w:sz="0" w:space="0" w:color="auto"/>
                <w:bottom w:val="none" w:sz="0" w:space="0" w:color="auto"/>
                <w:right w:val="none" w:sz="0" w:space="0" w:color="auto"/>
              </w:divBdr>
            </w:div>
            <w:div w:id="959528453">
              <w:marLeft w:val="0"/>
              <w:marRight w:val="0"/>
              <w:marTop w:val="0"/>
              <w:marBottom w:val="0"/>
              <w:divBdr>
                <w:top w:val="none" w:sz="0" w:space="0" w:color="auto"/>
                <w:left w:val="none" w:sz="0" w:space="0" w:color="auto"/>
                <w:bottom w:val="none" w:sz="0" w:space="0" w:color="auto"/>
                <w:right w:val="none" w:sz="0" w:space="0" w:color="auto"/>
              </w:divBdr>
            </w:div>
            <w:div w:id="1914197243">
              <w:marLeft w:val="0"/>
              <w:marRight w:val="0"/>
              <w:marTop w:val="0"/>
              <w:marBottom w:val="0"/>
              <w:divBdr>
                <w:top w:val="none" w:sz="0" w:space="0" w:color="auto"/>
                <w:left w:val="none" w:sz="0" w:space="0" w:color="auto"/>
                <w:bottom w:val="none" w:sz="0" w:space="0" w:color="auto"/>
                <w:right w:val="none" w:sz="0" w:space="0" w:color="auto"/>
              </w:divBdr>
            </w:div>
            <w:div w:id="1164667128">
              <w:marLeft w:val="0"/>
              <w:marRight w:val="0"/>
              <w:marTop w:val="0"/>
              <w:marBottom w:val="0"/>
              <w:divBdr>
                <w:top w:val="none" w:sz="0" w:space="0" w:color="auto"/>
                <w:left w:val="none" w:sz="0" w:space="0" w:color="auto"/>
                <w:bottom w:val="none" w:sz="0" w:space="0" w:color="auto"/>
                <w:right w:val="none" w:sz="0" w:space="0" w:color="auto"/>
              </w:divBdr>
            </w:div>
            <w:div w:id="1884753823">
              <w:marLeft w:val="0"/>
              <w:marRight w:val="0"/>
              <w:marTop w:val="0"/>
              <w:marBottom w:val="0"/>
              <w:divBdr>
                <w:top w:val="none" w:sz="0" w:space="0" w:color="auto"/>
                <w:left w:val="none" w:sz="0" w:space="0" w:color="auto"/>
                <w:bottom w:val="none" w:sz="0" w:space="0" w:color="auto"/>
                <w:right w:val="none" w:sz="0" w:space="0" w:color="auto"/>
              </w:divBdr>
            </w:div>
            <w:div w:id="1227884799">
              <w:marLeft w:val="0"/>
              <w:marRight w:val="0"/>
              <w:marTop w:val="0"/>
              <w:marBottom w:val="0"/>
              <w:divBdr>
                <w:top w:val="none" w:sz="0" w:space="0" w:color="auto"/>
                <w:left w:val="none" w:sz="0" w:space="0" w:color="auto"/>
                <w:bottom w:val="none" w:sz="0" w:space="0" w:color="auto"/>
                <w:right w:val="none" w:sz="0" w:space="0" w:color="auto"/>
              </w:divBdr>
            </w:div>
            <w:div w:id="510949643">
              <w:marLeft w:val="0"/>
              <w:marRight w:val="0"/>
              <w:marTop w:val="0"/>
              <w:marBottom w:val="0"/>
              <w:divBdr>
                <w:top w:val="none" w:sz="0" w:space="0" w:color="auto"/>
                <w:left w:val="none" w:sz="0" w:space="0" w:color="auto"/>
                <w:bottom w:val="none" w:sz="0" w:space="0" w:color="auto"/>
                <w:right w:val="none" w:sz="0" w:space="0" w:color="auto"/>
              </w:divBdr>
            </w:div>
            <w:div w:id="1240753513">
              <w:marLeft w:val="0"/>
              <w:marRight w:val="0"/>
              <w:marTop w:val="0"/>
              <w:marBottom w:val="0"/>
              <w:divBdr>
                <w:top w:val="none" w:sz="0" w:space="0" w:color="auto"/>
                <w:left w:val="none" w:sz="0" w:space="0" w:color="auto"/>
                <w:bottom w:val="none" w:sz="0" w:space="0" w:color="auto"/>
                <w:right w:val="none" w:sz="0" w:space="0" w:color="auto"/>
              </w:divBdr>
            </w:div>
            <w:div w:id="503714137">
              <w:marLeft w:val="0"/>
              <w:marRight w:val="0"/>
              <w:marTop w:val="0"/>
              <w:marBottom w:val="0"/>
              <w:divBdr>
                <w:top w:val="none" w:sz="0" w:space="0" w:color="auto"/>
                <w:left w:val="none" w:sz="0" w:space="0" w:color="auto"/>
                <w:bottom w:val="none" w:sz="0" w:space="0" w:color="auto"/>
                <w:right w:val="none" w:sz="0" w:space="0" w:color="auto"/>
              </w:divBdr>
            </w:div>
            <w:div w:id="497581990">
              <w:marLeft w:val="0"/>
              <w:marRight w:val="0"/>
              <w:marTop w:val="0"/>
              <w:marBottom w:val="0"/>
              <w:divBdr>
                <w:top w:val="none" w:sz="0" w:space="0" w:color="auto"/>
                <w:left w:val="none" w:sz="0" w:space="0" w:color="auto"/>
                <w:bottom w:val="none" w:sz="0" w:space="0" w:color="auto"/>
                <w:right w:val="none" w:sz="0" w:space="0" w:color="auto"/>
              </w:divBdr>
            </w:div>
            <w:div w:id="784621957">
              <w:marLeft w:val="0"/>
              <w:marRight w:val="0"/>
              <w:marTop w:val="0"/>
              <w:marBottom w:val="0"/>
              <w:divBdr>
                <w:top w:val="none" w:sz="0" w:space="0" w:color="auto"/>
                <w:left w:val="none" w:sz="0" w:space="0" w:color="auto"/>
                <w:bottom w:val="none" w:sz="0" w:space="0" w:color="auto"/>
                <w:right w:val="none" w:sz="0" w:space="0" w:color="auto"/>
              </w:divBdr>
            </w:div>
            <w:div w:id="1254969051">
              <w:marLeft w:val="0"/>
              <w:marRight w:val="0"/>
              <w:marTop w:val="0"/>
              <w:marBottom w:val="0"/>
              <w:divBdr>
                <w:top w:val="none" w:sz="0" w:space="0" w:color="auto"/>
                <w:left w:val="none" w:sz="0" w:space="0" w:color="auto"/>
                <w:bottom w:val="none" w:sz="0" w:space="0" w:color="auto"/>
                <w:right w:val="none" w:sz="0" w:space="0" w:color="auto"/>
              </w:divBdr>
            </w:div>
            <w:div w:id="1499417007">
              <w:marLeft w:val="0"/>
              <w:marRight w:val="0"/>
              <w:marTop w:val="0"/>
              <w:marBottom w:val="0"/>
              <w:divBdr>
                <w:top w:val="none" w:sz="0" w:space="0" w:color="auto"/>
                <w:left w:val="none" w:sz="0" w:space="0" w:color="auto"/>
                <w:bottom w:val="none" w:sz="0" w:space="0" w:color="auto"/>
                <w:right w:val="none" w:sz="0" w:space="0" w:color="auto"/>
              </w:divBdr>
            </w:div>
            <w:div w:id="1376848502">
              <w:marLeft w:val="0"/>
              <w:marRight w:val="0"/>
              <w:marTop w:val="0"/>
              <w:marBottom w:val="0"/>
              <w:divBdr>
                <w:top w:val="none" w:sz="0" w:space="0" w:color="auto"/>
                <w:left w:val="none" w:sz="0" w:space="0" w:color="auto"/>
                <w:bottom w:val="none" w:sz="0" w:space="0" w:color="auto"/>
                <w:right w:val="none" w:sz="0" w:space="0" w:color="auto"/>
              </w:divBdr>
            </w:div>
            <w:div w:id="1748383753">
              <w:marLeft w:val="0"/>
              <w:marRight w:val="0"/>
              <w:marTop w:val="0"/>
              <w:marBottom w:val="0"/>
              <w:divBdr>
                <w:top w:val="none" w:sz="0" w:space="0" w:color="auto"/>
                <w:left w:val="none" w:sz="0" w:space="0" w:color="auto"/>
                <w:bottom w:val="none" w:sz="0" w:space="0" w:color="auto"/>
                <w:right w:val="none" w:sz="0" w:space="0" w:color="auto"/>
              </w:divBdr>
            </w:div>
            <w:div w:id="140680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0900504">
      <w:bodyDiv w:val="1"/>
      <w:marLeft w:val="0"/>
      <w:marRight w:val="0"/>
      <w:marTop w:val="0"/>
      <w:marBottom w:val="0"/>
      <w:divBdr>
        <w:top w:val="none" w:sz="0" w:space="0" w:color="auto"/>
        <w:left w:val="none" w:sz="0" w:space="0" w:color="auto"/>
        <w:bottom w:val="none" w:sz="0" w:space="0" w:color="auto"/>
        <w:right w:val="none" w:sz="0" w:space="0" w:color="auto"/>
      </w:divBdr>
      <w:divsChild>
        <w:div w:id="220603100">
          <w:marLeft w:val="0"/>
          <w:marRight w:val="0"/>
          <w:marTop w:val="0"/>
          <w:marBottom w:val="0"/>
          <w:divBdr>
            <w:top w:val="none" w:sz="0" w:space="0" w:color="auto"/>
            <w:left w:val="none" w:sz="0" w:space="0" w:color="auto"/>
            <w:bottom w:val="none" w:sz="0" w:space="0" w:color="auto"/>
            <w:right w:val="none" w:sz="0" w:space="0" w:color="auto"/>
          </w:divBdr>
          <w:divsChild>
            <w:div w:id="1207527536">
              <w:marLeft w:val="0"/>
              <w:marRight w:val="0"/>
              <w:marTop w:val="0"/>
              <w:marBottom w:val="0"/>
              <w:divBdr>
                <w:top w:val="none" w:sz="0" w:space="0" w:color="auto"/>
                <w:left w:val="none" w:sz="0" w:space="0" w:color="auto"/>
                <w:bottom w:val="none" w:sz="0" w:space="0" w:color="auto"/>
                <w:right w:val="none" w:sz="0" w:space="0" w:color="auto"/>
              </w:divBdr>
            </w:div>
            <w:div w:id="751312592">
              <w:marLeft w:val="0"/>
              <w:marRight w:val="0"/>
              <w:marTop w:val="0"/>
              <w:marBottom w:val="0"/>
              <w:divBdr>
                <w:top w:val="none" w:sz="0" w:space="0" w:color="auto"/>
                <w:left w:val="none" w:sz="0" w:space="0" w:color="auto"/>
                <w:bottom w:val="none" w:sz="0" w:space="0" w:color="auto"/>
                <w:right w:val="none" w:sz="0" w:space="0" w:color="auto"/>
              </w:divBdr>
            </w:div>
            <w:div w:id="888420479">
              <w:marLeft w:val="0"/>
              <w:marRight w:val="0"/>
              <w:marTop w:val="0"/>
              <w:marBottom w:val="0"/>
              <w:divBdr>
                <w:top w:val="none" w:sz="0" w:space="0" w:color="auto"/>
                <w:left w:val="none" w:sz="0" w:space="0" w:color="auto"/>
                <w:bottom w:val="none" w:sz="0" w:space="0" w:color="auto"/>
                <w:right w:val="none" w:sz="0" w:space="0" w:color="auto"/>
              </w:divBdr>
            </w:div>
            <w:div w:id="18427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41252971">
      <w:bodyDiv w:val="1"/>
      <w:marLeft w:val="0"/>
      <w:marRight w:val="0"/>
      <w:marTop w:val="0"/>
      <w:marBottom w:val="0"/>
      <w:divBdr>
        <w:top w:val="none" w:sz="0" w:space="0" w:color="auto"/>
        <w:left w:val="none" w:sz="0" w:space="0" w:color="auto"/>
        <w:bottom w:val="none" w:sz="0" w:space="0" w:color="auto"/>
        <w:right w:val="none" w:sz="0" w:space="0" w:color="auto"/>
      </w:divBdr>
    </w:div>
    <w:div w:id="1952660746">
      <w:bodyDiv w:val="1"/>
      <w:marLeft w:val="0"/>
      <w:marRight w:val="0"/>
      <w:marTop w:val="0"/>
      <w:marBottom w:val="0"/>
      <w:divBdr>
        <w:top w:val="none" w:sz="0" w:space="0" w:color="auto"/>
        <w:left w:val="none" w:sz="0" w:space="0" w:color="auto"/>
        <w:bottom w:val="none" w:sz="0" w:space="0" w:color="auto"/>
        <w:right w:val="none" w:sz="0" w:space="0" w:color="auto"/>
      </w:divBdr>
      <w:divsChild>
        <w:div w:id="958340531">
          <w:marLeft w:val="0"/>
          <w:marRight w:val="0"/>
          <w:marTop w:val="0"/>
          <w:marBottom w:val="0"/>
          <w:divBdr>
            <w:top w:val="none" w:sz="0" w:space="0" w:color="auto"/>
            <w:left w:val="none" w:sz="0" w:space="0" w:color="auto"/>
            <w:bottom w:val="none" w:sz="0" w:space="0" w:color="auto"/>
            <w:right w:val="none" w:sz="0" w:space="0" w:color="auto"/>
          </w:divBdr>
          <w:divsChild>
            <w:div w:id="90126577">
              <w:marLeft w:val="0"/>
              <w:marRight w:val="0"/>
              <w:marTop w:val="0"/>
              <w:marBottom w:val="0"/>
              <w:divBdr>
                <w:top w:val="none" w:sz="0" w:space="0" w:color="auto"/>
                <w:left w:val="none" w:sz="0" w:space="0" w:color="auto"/>
                <w:bottom w:val="none" w:sz="0" w:space="0" w:color="auto"/>
                <w:right w:val="none" w:sz="0" w:space="0" w:color="auto"/>
              </w:divBdr>
            </w:div>
            <w:div w:id="376707074">
              <w:marLeft w:val="0"/>
              <w:marRight w:val="0"/>
              <w:marTop w:val="0"/>
              <w:marBottom w:val="0"/>
              <w:divBdr>
                <w:top w:val="none" w:sz="0" w:space="0" w:color="auto"/>
                <w:left w:val="none" w:sz="0" w:space="0" w:color="auto"/>
                <w:bottom w:val="none" w:sz="0" w:space="0" w:color="auto"/>
                <w:right w:val="none" w:sz="0" w:space="0" w:color="auto"/>
              </w:divBdr>
            </w:div>
            <w:div w:id="469053221">
              <w:marLeft w:val="0"/>
              <w:marRight w:val="0"/>
              <w:marTop w:val="0"/>
              <w:marBottom w:val="0"/>
              <w:divBdr>
                <w:top w:val="none" w:sz="0" w:space="0" w:color="auto"/>
                <w:left w:val="none" w:sz="0" w:space="0" w:color="auto"/>
                <w:bottom w:val="none" w:sz="0" w:space="0" w:color="auto"/>
                <w:right w:val="none" w:sz="0" w:space="0" w:color="auto"/>
              </w:divBdr>
            </w:div>
            <w:div w:id="885607052">
              <w:marLeft w:val="0"/>
              <w:marRight w:val="0"/>
              <w:marTop w:val="0"/>
              <w:marBottom w:val="0"/>
              <w:divBdr>
                <w:top w:val="none" w:sz="0" w:space="0" w:color="auto"/>
                <w:left w:val="none" w:sz="0" w:space="0" w:color="auto"/>
                <w:bottom w:val="none" w:sz="0" w:space="0" w:color="auto"/>
                <w:right w:val="none" w:sz="0" w:space="0" w:color="auto"/>
              </w:divBdr>
            </w:div>
            <w:div w:id="1915238383">
              <w:marLeft w:val="0"/>
              <w:marRight w:val="0"/>
              <w:marTop w:val="0"/>
              <w:marBottom w:val="0"/>
              <w:divBdr>
                <w:top w:val="none" w:sz="0" w:space="0" w:color="auto"/>
                <w:left w:val="none" w:sz="0" w:space="0" w:color="auto"/>
                <w:bottom w:val="none" w:sz="0" w:space="0" w:color="auto"/>
                <w:right w:val="none" w:sz="0" w:space="0" w:color="auto"/>
              </w:divBdr>
              <w:divsChild>
                <w:div w:id="2131507747">
                  <w:marLeft w:val="0"/>
                  <w:marRight w:val="0"/>
                  <w:marTop w:val="0"/>
                  <w:marBottom w:val="0"/>
                  <w:divBdr>
                    <w:top w:val="none" w:sz="0" w:space="0" w:color="auto"/>
                    <w:left w:val="none" w:sz="0" w:space="0" w:color="auto"/>
                    <w:bottom w:val="none" w:sz="0" w:space="0" w:color="auto"/>
                    <w:right w:val="none" w:sz="0" w:space="0" w:color="auto"/>
                  </w:divBdr>
                  <w:divsChild>
                    <w:div w:id="1527980056">
                      <w:marLeft w:val="0"/>
                      <w:marRight w:val="0"/>
                      <w:marTop w:val="0"/>
                      <w:marBottom w:val="0"/>
                      <w:divBdr>
                        <w:top w:val="none" w:sz="0" w:space="0" w:color="auto"/>
                        <w:left w:val="none" w:sz="0" w:space="0" w:color="auto"/>
                        <w:bottom w:val="none" w:sz="0" w:space="0" w:color="auto"/>
                        <w:right w:val="none" w:sz="0" w:space="0" w:color="auto"/>
                      </w:divBdr>
                      <w:divsChild>
                        <w:div w:id="2051101667">
                          <w:marLeft w:val="0"/>
                          <w:marRight w:val="0"/>
                          <w:marTop w:val="0"/>
                          <w:marBottom w:val="0"/>
                          <w:divBdr>
                            <w:top w:val="none" w:sz="0" w:space="0" w:color="auto"/>
                            <w:left w:val="none" w:sz="0" w:space="0" w:color="auto"/>
                            <w:bottom w:val="none" w:sz="0" w:space="0" w:color="auto"/>
                            <w:right w:val="none" w:sz="0" w:space="0" w:color="auto"/>
                          </w:divBdr>
                        </w:div>
                      </w:divsChild>
                    </w:div>
                    <w:div w:id="259727626">
                      <w:marLeft w:val="0"/>
                      <w:marRight w:val="0"/>
                      <w:marTop w:val="0"/>
                      <w:marBottom w:val="0"/>
                      <w:divBdr>
                        <w:top w:val="none" w:sz="0" w:space="0" w:color="auto"/>
                        <w:left w:val="none" w:sz="0" w:space="0" w:color="auto"/>
                        <w:bottom w:val="none" w:sz="0" w:space="0" w:color="auto"/>
                        <w:right w:val="none" w:sz="0" w:space="0" w:color="auto"/>
                      </w:divBdr>
                      <w:divsChild>
                        <w:div w:id="1011839548">
                          <w:marLeft w:val="0"/>
                          <w:marRight w:val="0"/>
                          <w:marTop w:val="0"/>
                          <w:marBottom w:val="0"/>
                          <w:divBdr>
                            <w:top w:val="none" w:sz="0" w:space="0" w:color="auto"/>
                            <w:left w:val="none" w:sz="0" w:space="0" w:color="auto"/>
                            <w:bottom w:val="none" w:sz="0" w:space="0" w:color="auto"/>
                            <w:right w:val="none" w:sz="0" w:space="0" w:color="auto"/>
                          </w:divBdr>
                        </w:div>
                      </w:divsChild>
                    </w:div>
                    <w:div w:id="778766044">
                      <w:marLeft w:val="0"/>
                      <w:marRight w:val="0"/>
                      <w:marTop w:val="0"/>
                      <w:marBottom w:val="0"/>
                      <w:divBdr>
                        <w:top w:val="none" w:sz="0" w:space="0" w:color="auto"/>
                        <w:left w:val="none" w:sz="0" w:space="0" w:color="auto"/>
                        <w:bottom w:val="none" w:sz="0" w:space="0" w:color="auto"/>
                        <w:right w:val="none" w:sz="0" w:space="0" w:color="auto"/>
                      </w:divBdr>
                      <w:divsChild>
                        <w:div w:id="146945903">
                          <w:marLeft w:val="0"/>
                          <w:marRight w:val="0"/>
                          <w:marTop w:val="0"/>
                          <w:marBottom w:val="0"/>
                          <w:divBdr>
                            <w:top w:val="none" w:sz="0" w:space="0" w:color="auto"/>
                            <w:left w:val="none" w:sz="0" w:space="0" w:color="auto"/>
                            <w:bottom w:val="none" w:sz="0" w:space="0" w:color="auto"/>
                            <w:right w:val="none" w:sz="0" w:space="0" w:color="auto"/>
                          </w:divBdr>
                        </w:div>
                      </w:divsChild>
                    </w:div>
                    <w:div w:id="1521814071">
                      <w:marLeft w:val="0"/>
                      <w:marRight w:val="0"/>
                      <w:marTop w:val="0"/>
                      <w:marBottom w:val="0"/>
                      <w:divBdr>
                        <w:top w:val="none" w:sz="0" w:space="0" w:color="auto"/>
                        <w:left w:val="none" w:sz="0" w:space="0" w:color="auto"/>
                        <w:bottom w:val="none" w:sz="0" w:space="0" w:color="auto"/>
                        <w:right w:val="none" w:sz="0" w:space="0" w:color="auto"/>
                      </w:divBdr>
                      <w:divsChild>
                        <w:div w:id="786392417">
                          <w:marLeft w:val="0"/>
                          <w:marRight w:val="0"/>
                          <w:marTop w:val="0"/>
                          <w:marBottom w:val="0"/>
                          <w:divBdr>
                            <w:top w:val="none" w:sz="0" w:space="0" w:color="auto"/>
                            <w:left w:val="none" w:sz="0" w:space="0" w:color="auto"/>
                            <w:bottom w:val="none" w:sz="0" w:space="0" w:color="auto"/>
                            <w:right w:val="none" w:sz="0" w:space="0" w:color="auto"/>
                          </w:divBdr>
                        </w:div>
                      </w:divsChild>
                    </w:div>
                    <w:div w:id="882524889">
                      <w:marLeft w:val="0"/>
                      <w:marRight w:val="0"/>
                      <w:marTop w:val="0"/>
                      <w:marBottom w:val="0"/>
                      <w:divBdr>
                        <w:top w:val="none" w:sz="0" w:space="0" w:color="auto"/>
                        <w:left w:val="none" w:sz="0" w:space="0" w:color="auto"/>
                        <w:bottom w:val="none" w:sz="0" w:space="0" w:color="auto"/>
                        <w:right w:val="none" w:sz="0" w:space="0" w:color="auto"/>
                      </w:divBdr>
                      <w:divsChild>
                        <w:div w:id="1555191935">
                          <w:marLeft w:val="0"/>
                          <w:marRight w:val="0"/>
                          <w:marTop w:val="0"/>
                          <w:marBottom w:val="0"/>
                          <w:divBdr>
                            <w:top w:val="none" w:sz="0" w:space="0" w:color="auto"/>
                            <w:left w:val="none" w:sz="0" w:space="0" w:color="auto"/>
                            <w:bottom w:val="none" w:sz="0" w:space="0" w:color="auto"/>
                            <w:right w:val="none" w:sz="0" w:space="0" w:color="auto"/>
                          </w:divBdr>
                        </w:div>
                      </w:divsChild>
                    </w:div>
                    <w:div w:id="934747616">
                      <w:marLeft w:val="0"/>
                      <w:marRight w:val="0"/>
                      <w:marTop w:val="0"/>
                      <w:marBottom w:val="0"/>
                      <w:divBdr>
                        <w:top w:val="none" w:sz="0" w:space="0" w:color="auto"/>
                        <w:left w:val="none" w:sz="0" w:space="0" w:color="auto"/>
                        <w:bottom w:val="none" w:sz="0" w:space="0" w:color="auto"/>
                        <w:right w:val="none" w:sz="0" w:space="0" w:color="auto"/>
                      </w:divBdr>
                      <w:divsChild>
                        <w:div w:id="762069410">
                          <w:marLeft w:val="0"/>
                          <w:marRight w:val="0"/>
                          <w:marTop w:val="0"/>
                          <w:marBottom w:val="0"/>
                          <w:divBdr>
                            <w:top w:val="none" w:sz="0" w:space="0" w:color="auto"/>
                            <w:left w:val="none" w:sz="0" w:space="0" w:color="auto"/>
                            <w:bottom w:val="none" w:sz="0" w:space="0" w:color="auto"/>
                            <w:right w:val="none" w:sz="0" w:space="0" w:color="auto"/>
                          </w:divBdr>
                        </w:div>
                        <w:div w:id="2092894140">
                          <w:marLeft w:val="0"/>
                          <w:marRight w:val="0"/>
                          <w:marTop w:val="0"/>
                          <w:marBottom w:val="0"/>
                          <w:divBdr>
                            <w:top w:val="none" w:sz="0" w:space="0" w:color="auto"/>
                            <w:left w:val="none" w:sz="0" w:space="0" w:color="auto"/>
                            <w:bottom w:val="none" w:sz="0" w:space="0" w:color="auto"/>
                            <w:right w:val="none" w:sz="0" w:space="0" w:color="auto"/>
                          </w:divBdr>
                        </w:div>
                        <w:div w:id="930744312">
                          <w:marLeft w:val="0"/>
                          <w:marRight w:val="0"/>
                          <w:marTop w:val="0"/>
                          <w:marBottom w:val="0"/>
                          <w:divBdr>
                            <w:top w:val="none" w:sz="0" w:space="0" w:color="auto"/>
                            <w:left w:val="none" w:sz="0" w:space="0" w:color="auto"/>
                            <w:bottom w:val="none" w:sz="0" w:space="0" w:color="auto"/>
                            <w:right w:val="none" w:sz="0" w:space="0" w:color="auto"/>
                          </w:divBdr>
                        </w:div>
                      </w:divsChild>
                    </w:div>
                    <w:div w:id="918563774">
                      <w:marLeft w:val="0"/>
                      <w:marRight w:val="0"/>
                      <w:marTop w:val="0"/>
                      <w:marBottom w:val="0"/>
                      <w:divBdr>
                        <w:top w:val="none" w:sz="0" w:space="0" w:color="auto"/>
                        <w:left w:val="none" w:sz="0" w:space="0" w:color="auto"/>
                        <w:bottom w:val="none" w:sz="0" w:space="0" w:color="auto"/>
                        <w:right w:val="none" w:sz="0" w:space="0" w:color="auto"/>
                      </w:divBdr>
                      <w:divsChild>
                        <w:div w:id="901058379">
                          <w:marLeft w:val="0"/>
                          <w:marRight w:val="0"/>
                          <w:marTop w:val="0"/>
                          <w:marBottom w:val="0"/>
                          <w:divBdr>
                            <w:top w:val="none" w:sz="0" w:space="0" w:color="auto"/>
                            <w:left w:val="none" w:sz="0" w:space="0" w:color="auto"/>
                            <w:bottom w:val="none" w:sz="0" w:space="0" w:color="auto"/>
                            <w:right w:val="none" w:sz="0" w:space="0" w:color="auto"/>
                          </w:divBdr>
                        </w:div>
                      </w:divsChild>
                    </w:div>
                    <w:div w:id="2126388713">
                      <w:marLeft w:val="0"/>
                      <w:marRight w:val="0"/>
                      <w:marTop w:val="0"/>
                      <w:marBottom w:val="0"/>
                      <w:divBdr>
                        <w:top w:val="none" w:sz="0" w:space="0" w:color="auto"/>
                        <w:left w:val="none" w:sz="0" w:space="0" w:color="auto"/>
                        <w:bottom w:val="none" w:sz="0" w:space="0" w:color="auto"/>
                        <w:right w:val="none" w:sz="0" w:space="0" w:color="auto"/>
                      </w:divBdr>
                      <w:divsChild>
                        <w:div w:id="905921484">
                          <w:marLeft w:val="0"/>
                          <w:marRight w:val="0"/>
                          <w:marTop w:val="0"/>
                          <w:marBottom w:val="0"/>
                          <w:divBdr>
                            <w:top w:val="none" w:sz="0" w:space="0" w:color="auto"/>
                            <w:left w:val="none" w:sz="0" w:space="0" w:color="auto"/>
                            <w:bottom w:val="none" w:sz="0" w:space="0" w:color="auto"/>
                            <w:right w:val="none" w:sz="0" w:space="0" w:color="auto"/>
                          </w:divBdr>
                        </w:div>
                      </w:divsChild>
                    </w:div>
                    <w:div w:id="1111365348">
                      <w:marLeft w:val="0"/>
                      <w:marRight w:val="0"/>
                      <w:marTop w:val="0"/>
                      <w:marBottom w:val="0"/>
                      <w:divBdr>
                        <w:top w:val="none" w:sz="0" w:space="0" w:color="auto"/>
                        <w:left w:val="none" w:sz="0" w:space="0" w:color="auto"/>
                        <w:bottom w:val="none" w:sz="0" w:space="0" w:color="auto"/>
                        <w:right w:val="none" w:sz="0" w:space="0" w:color="auto"/>
                      </w:divBdr>
                      <w:divsChild>
                        <w:div w:id="96215599">
                          <w:marLeft w:val="0"/>
                          <w:marRight w:val="0"/>
                          <w:marTop w:val="0"/>
                          <w:marBottom w:val="0"/>
                          <w:divBdr>
                            <w:top w:val="none" w:sz="0" w:space="0" w:color="auto"/>
                            <w:left w:val="none" w:sz="0" w:space="0" w:color="auto"/>
                            <w:bottom w:val="none" w:sz="0" w:space="0" w:color="auto"/>
                            <w:right w:val="none" w:sz="0" w:space="0" w:color="auto"/>
                          </w:divBdr>
                        </w:div>
                        <w:div w:id="1894392738">
                          <w:marLeft w:val="0"/>
                          <w:marRight w:val="0"/>
                          <w:marTop w:val="0"/>
                          <w:marBottom w:val="0"/>
                          <w:divBdr>
                            <w:top w:val="none" w:sz="0" w:space="0" w:color="auto"/>
                            <w:left w:val="none" w:sz="0" w:space="0" w:color="auto"/>
                            <w:bottom w:val="none" w:sz="0" w:space="0" w:color="auto"/>
                            <w:right w:val="none" w:sz="0" w:space="0" w:color="auto"/>
                          </w:divBdr>
                        </w:div>
                        <w:div w:id="526211269">
                          <w:marLeft w:val="0"/>
                          <w:marRight w:val="0"/>
                          <w:marTop w:val="0"/>
                          <w:marBottom w:val="0"/>
                          <w:divBdr>
                            <w:top w:val="none" w:sz="0" w:space="0" w:color="auto"/>
                            <w:left w:val="none" w:sz="0" w:space="0" w:color="auto"/>
                            <w:bottom w:val="none" w:sz="0" w:space="0" w:color="auto"/>
                            <w:right w:val="none" w:sz="0" w:space="0" w:color="auto"/>
                          </w:divBdr>
                        </w:div>
                        <w:div w:id="300161141">
                          <w:marLeft w:val="0"/>
                          <w:marRight w:val="0"/>
                          <w:marTop w:val="0"/>
                          <w:marBottom w:val="0"/>
                          <w:divBdr>
                            <w:top w:val="none" w:sz="0" w:space="0" w:color="auto"/>
                            <w:left w:val="none" w:sz="0" w:space="0" w:color="auto"/>
                            <w:bottom w:val="none" w:sz="0" w:space="0" w:color="auto"/>
                            <w:right w:val="none" w:sz="0" w:space="0" w:color="auto"/>
                          </w:divBdr>
                        </w:div>
                        <w:div w:id="1108810966">
                          <w:marLeft w:val="0"/>
                          <w:marRight w:val="0"/>
                          <w:marTop w:val="0"/>
                          <w:marBottom w:val="0"/>
                          <w:divBdr>
                            <w:top w:val="none" w:sz="0" w:space="0" w:color="auto"/>
                            <w:left w:val="none" w:sz="0" w:space="0" w:color="auto"/>
                            <w:bottom w:val="none" w:sz="0" w:space="0" w:color="auto"/>
                            <w:right w:val="none" w:sz="0" w:space="0" w:color="auto"/>
                          </w:divBdr>
                        </w:div>
                      </w:divsChild>
                    </w:div>
                    <w:div w:id="697395311">
                      <w:marLeft w:val="0"/>
                      <w:marRight w:val="0"/>
                      <w:marTop w:val="0"/>
                      <w:marBottom w:val="0"/>
                      <w:divBdr>
                        <w:top w:val="none" w:sz="0" w:space="0" w:color="auto"/>
                        <w:left w:val="none" w:sz="0" w:space="0" w:color="auto"/>
                        <w:bottom w:val="none" w:sz="0" w:space="0" w:color="auto"/>
                        <w:right w:val="none" w:sz="0" w:space="0" w:color="auto"/>
                      </w:divBdr>
                      <w:divsChild>
                        <w:div w:id="1167790129">
                          <w:marLeft w:val="0"/>
                          <w:marRight w:val="0"/>
                          <w:marTop w:val="0"/>
                          <w:marBottom w:val="0"/>
                          <w:divBdr>
                            <w:top w:val="none" w:sz="0" w:space="0" w:color="auto"/>
                            <w:left w:val="none" w:sz="0" w:space="0" w:color="auto"/>
                            <w:bottom w:val="none" w:sz="0" w:space="0" w:color="auto"/>
                            <w:right w:val="none" w:sz="0" w:space="0" w:color="auto"/>
                          </w:divBdr>
                        </w:div>
                      </w:divsChild>
                    </w:div>
                    <w:div w:id="477920146">
                      <w:marLeft w:val="0"/>
                      <w:marRight w:val="0"/>
                      <w:marTop w:val="0"/>
                      <w:marBottom w:val="0"/>
                      <w:divBdr>
                        <w:top w:val="none" w:sz="0" w:space="0" w:color="auto"/>
                        <w:left w:val="none" w:sz="0" w:space="0" w:color="auto"/>
                        <w:bottom w:val="none" w:sz="0" w:space="0" w:color="auto"/>
                        <w:right w:val="none" w:sz="0" w:space="0" w:color="auto"/>
                      </w:divBdr>
                      <w:divsChild>
                        <w:div w:id="202251332">
                          <w:marLeft w:val="0"/>
                          <w:marRight w:val="0"/>
                          <w:marTop w:val="0"/>
                          <w:marBottom w:val="0"/>
                          <w:divBdr>
                            <w:top w:val="none" w:sz="0" w:space="0" w:color="auto"/>
                            <w:left w:val="none" w:sz="0" w:space="0" w:color="auto"/>
                            <w:bottom w:val="none" w:sz="0" w:space="0" w:color="auto"/>
                            <w:right w:val="none" w:sz="0" w:space="0" w:color="auto"/>
                          </w:divBdr>
                        </w:div>
                        <w:div w:id="1761414569">
                          <w:marLeft w:val="0"/>
                          <w:marRight w:val="0"/>
                          <w:marTop w:val="0"/>
                          <w:marBottom w:val="0"/>
                          <w:divBdr>
                            <w:top w:val="none" w:sz="0" w:space="0" w:color="auto"/>
                            <w:left w:val="none" w:sz="0" w:space="0" w:color="auto"/>
                            <w:bottom w:val="none" w:sz="0" w:space="0" w:color="auto"/>
                            <w:right w:val="none" w:sz="0" w:space="0" w:color="auto"/>
                          </w:divBdr>
                        </w:div>
                      </w:divsChild>
                    </w:div>
                    <w:div w:id="1311590404">
                      <w:marLeft w:val="0"/>
                      <w:marRight w:val="0"/>
                      <w:marTop w:val="0"/>
                      <w:marBottom w:val="0"/>
                      <w:divBdr>
                        <w:top w:val="none" w:sz="0" w:space="0" w:color="auto"/>
                        <w:left w:val="none" w:sz="0" w:space="0" w:color="auto"/>
                        <w:bottom w:val="none" w:sz="0" w:space="0" w:color="auto"/>
                        <w:right w:val="none" w:sz="0" w:space="0" w:color="auto"/>
                      </w:divBdr>
                      <w:divsChild>
                        <w:div w:id="1263296996">
                          <w:marLeft w:val="0"/>
                          <w:marRight w:val="0"/>
                          <w:marTop w:val="0"/>
                          <w:marBottom w:val="0"/>
                          <w:divBdr>
                            <w:top w:val="none" w:sz="0" w:space="0" w:color="auto"/>
                            <w:left w:val="none" w:sz="0" w:space="0" w:color="auto"/>
                            <w:bottom w:val="none" w:sz="0" w:space="0" w:color="auto"/>
                            <w:right w:val="none" w:sz="0" w:space="0" w:color="auto"/>
                          </w:divBdr>
                        </w:div>
                        <w:div w:id="306789978">
                          <w:marLeft w:val="0"/>
                          <w:marRight w:val="0"/>
                          <w:marTop w:val="0"/>
                          <w:marBottom w:val="0"/>
                          <w:divBdr>
                            <w:top w:val="none" w:sz="0" w:space="0" w:color="auto"/>
                            <w:left w:val="none" w:sz="0" w:space="0" w:color="auto"/>
                            <w:bottom w:val="none" w:sz="0" w:space="0" w:color="auto"/>
                            <w:right w:val="none" w:sz="0" w:space="0" w:color="auto"/>
                          </w:divBdr>
                        </w:div>
                        <w:div w:id="388042533">
                          <w:marLeft w:val="0"/>
                          <w:marRight w:val="0"/>
                          <w:marTop w:val="0"/>
                          <w:marBottom w:val="0"/>
                          <w:divBdr>
                            <w:top w:val="none" w:sz="0" w:space="0" w:color="auto"/>
                            <w:left w:val="none" w:sz="0" w:space="0" w:color="auto"/>
                            <w:bottom w:val="none" w:sz="0" w:space="0" w:color="auto"/>
                            <w:right w:val="none" w:sz="0" w:space="0" w:color="auto"/>
                          </w:divBdr>
                        </w:div>
                        <w:div w:id="308361124">
                          <w:marLeft w:val="0"/>
                          <w:marRight w:val="0"/>
                          <w:marTop w:val="0"/>
                          <w:marBottom w:val="0"/>
                          <w:divBdr>
                            <w:top w:val="none" w:sz="0" w:space="0" w:color="auto"/>
                            <w:left w:val="none" w:sz="0" w:space="0" w:color="auto"/>
                            <w:bottom w:val="none" w:sz="0" w:space="0" w:color="auto"/>
                            <w:right w:val="none" w:sz="0" w:space="0" w:color="auto"/>
                          </w:divBdr>
                        </w:div>
                        <w:div w:id="765728501">
                          <w:marLeft w:val="0"/>
                          <w:marRight w:val="0"/>
                          <w:marTop w:val="0"/>
                          <w:marBottom w:val="0"/>
                          <w:divBdr>
                            <w:top w:val="none" w:sz="0" w:space="0" w:color="auto"/>
                            <w:left w:val="none" w:sz="0" w:space="0" w:color="auto"/>
                            <w:bottom w:val="none" w:sz="0" w:space="0" w:color="auto"/>
                            <w:right w:val="none" w:sz="0" w:space="0" w:color="auto"/>
                          </w:divBdr>
                        </w:div>
                      </w:divsChild>
                    </w:div>
                    <w:div w:id="1492403181">
                      <w:marLeft w:val="0"/>
                      <w:marRight w:val="0"/>
                      <w:marTop w:val="0"/>
                      <w:marBottom w:val="0"/>
                      <w:divBdr>
                        <w:top w:val="none" w:sz="0" w:space="0" w:color="auto"/>
                        <w:left w:val="none" w:sz="0" w:space="0" w:color="auto"/>
                        <w:bottom w:val="none" w:sz="0" w:space="0" w:color="auto"/>
                        <w:right w:val="none" w:sz="0" w:space="0" w:color="auto"/>
                      </w:divBdr>
                      <w:divsChild>
                        <w:div w:id="1605966391">
                          <w:marLeft w:val="0"/>
                          <w:marRight w:val="0"/>
                          <w:marTop w:val="0"/>
                          <w:marBottom w:val="0"/>
                          <w:divBdr>
                            <w:top w:val="none" w:sz="0" w:space="0" w:color="auto"/>
                            <w:left w:val="none" w:sz="0" w:space="0" w:color="auto"/>
                            <w:bottom w:val="none" w:sz="0" w:space="0" w:color="auto"/>
                            <w:right w:val="none" w:sz="0" w:space="0" w:color="auto"/>
                          </w:divBdr>
                        </w:div>
                        <w:div w:id="940383403">
                          <w:marLeft w:val="0"/>
                          <w:marRight w:val="0"/>
                          <w:marTop w:val="0"/>
                          <w:marBottom w:val="0"/>
                          <w:divBdr>
                            <w:top w:val="none" w:sz="0" w:space="0" w:color="auto"/>
                            <w:left w:val="none" w:sz="0" w:space="0" w:color="auto"/>
                            <w:bottom w:val="none" w:sz="0" w:space="0" w:color="auto"/>
                            <w:right w:val="none" w:sz="0" w:space="0" w:color="auto"/>
                          </w:divBdr>
                        </w:div>
                      </w:divsChild>
                    </w:div>
                    <w:div w:id="535507899">
                      <w:marLeft w:val="0"/>
                      <w:marRight w:val="0"/>
                      <w:marTop w:val="0"/>
                      <w:marBottom w:val="0"/>
                      <w:divBdr>
                        <w:top w:val="none" w:sz="0" w:space="0" w:color="auto"/>
                        <w:left w:val="none" w:sz="0" w:space="0" w:color="auto"/>
                        <w:bottom w:val="none" w:sz="0" w:space="0" w:color="auto"/>
                        <w:right w:val="none" w:sz="0" w:space="0" w:color="auto"/>
                      </w:divBdr>
                      <w:divsChild>
                        <w:div w:id="98916779">
                          <w:marLeft w:val="0"/>
                          <w:marRight w:val="0"/>
                          <w:marTop w:val="0"/>
                          <w:marBottom w:val="0"/>
                          <w:divBdr>
                            <w:top w:val="none" w:sz="0" w:space="0" w:color="auto"/>
                            <w:left w:val="none" w:sz="0" w:space="0" w:color="auto"/>
                            <w:bottom w:val="none" w:sz="0" w:space="0" w:color="auto"/>
                            <w:right w:val="none" w:sz="0" w:space="0" w:color="auto"/>
                          </w:divBdr>
                        </w:div>
                        <w:div w:id="414089129">
                          <w:marLeft w:val="0"/>
                          <w:marRight w:val="0"/>
                          <w:marTop w:val="0"/>
                          <w:marBottom w:val="0"/>
                          <w:divBdr>
                            <w:top w:val="none" w:sz="0" w:space="0" w:color="auto"/>
                            <w:left w:val="none" w:sz="0" w:space="0" w:color="auto"/>
                            <w:bottom w:val="none" w:sz="0" w:space="0" w:color="auto"/>
                            <w:right w:val="none" w:sz="0" w:space="0" w:color="auto"/>
                          </w:divBdr>
                        </w:div>
                      </w:divsChild>
                    </w:div>
                    <w:div w:id="1304113825">
                      <w:marLeft w:val="0"/>
                      <w:marRight w:val="0"/>
                      <w:marTop w:val="0"/>
                      <w:marBottom w:val="0"/>
                      <w:divBdr>
                        <w:top w:val="none" w:sz="0" w:space="0" w:color="auto"/>
                        <w:left w:val="none" w:sz="0" w:space="0" w:color="auto"/>
                        <w:bottom w:val="none" w:sz="0" w:space="0" w:color="auto"/>
                        <w:right w:val="none" w:sz="0" w:space="0" w:color="auto"/>
                      </w:divBdr>
                      <w:divsChild>
                        <w:div w:id="87130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530798">
              <w:marLeft w:val="0"/>
              <w:marRight w:val="0"/>
              <w:marTop w:val="0"/>
              <w:marBottom w:val="0"/>
              <w:divBdr>
                <w:top w:val="none" w:sz="0" w:space="0" w:color="auto"/>
                <w:left w:val="none" w:sz="0" w:space="0" w:color="auto"/>
                <w:bottom w:val="none" w:sz="0" w:space="0" w:color="auto"/>
                <w:right w:val="none" w:sz="0" w:space="0" w:color="auto"/>
              </w:divBdr>
            </w:div>
            <w:div w:id="105470659">
              <w:marLeft w:val="0"/>
              <w:marRight w:val="0"/>
              <w:marTop w:val="0"/>
              <w:marBottom w:val="0"/>
              <w:divBdr>
                <w:top w:val="none" w:sz="0" w:space="0" w:color="auto"/>
                <w:left w:val="none" w:sz="0" w:space="0" w:color="auto"/>
                <w:bottom w:val="none" w:sz="0" w:space="0" w:color="auto"/>
                <w:right w:val="none" w:sz="0" w:space="0" w:color="auto"/>
              </w:divBdr>
            </w:div>
            <w:div w:id="309871302">
              <w:marLeft w:val="0"/>
              <w:marRight w:val="0"/>
              <w:marTop w:val="0"/>
              <w:marBottom w:val="0"/>
              <w:divBdr>
                <w:top w:val="none" w:sz="0" w:space="0" w:color="auto"/>
                <w:left w:val="none" w:sz="0" w:space="0" w:color="auto"/>
                <w:bottom w:val="none" w:sz="0" w:space="0" w:color="auto"/>
                <w:right w:val="none" w:sz="0" w:space="0" w:color="auto"/>
              </w:divBdr>
            </w:div>
            <w:div w:id="1168979425">
              <w:marLeft w:val="0"/>
              <w:marRight w:val="0"/>
              <w:marTop w:val="0"/>
              <w:marBottom w:val="0"/>
              <w:divBdr>
                <w:top w:val="none" w:sz="0" w:space="0" w:color="auto"/>
                <w:left w:val="none" w:sz="0" w:space="0" w:color="auto"/>
                <w:bottom w:val="none" w:sz="0" w:space="0" w:color="auto"/>
                <w:right w:val="none" w:sz="0" w:space="0" w:color="auto"/>
              </w:divBdr>
            </w:div>
            <w:div w:id="436675846">
              <w:marLeft w:val="0"/>
              <w:marRight w:val="0"/>
              <w:marTop w:val="0"/>
              <w:marBottom w:val="0"/>
              <w:divBdr>
                <w:top w:val="none" w:sz="0" w:space="0" w:color="auto"/>
                <w:left w:val="none" w:sz="0" w:space="0" w:color="auto"/>
                <w:bottom w:val="none" w:sz="0" w:space="0" w:color="auto"/>
                <w:right w:val="none" w:sz="0" w:space="0" w:color="auto"/>
              </w:divBdr>
            </w:div>
            <w:div w:id="1874031732">
              <w:marLeft w:val="0"/>
              <w:marRight w:val="0"/>
              <w:marTop w:val="0"/>
              <w:marBottom w:val="0"/>
              <w:divBdr>
                <w:top w:val="none" w:sz="0" w:space="0" w:color="auto"/>
                <w:left w:val="none" w:sz="0" w:space="0" w:color="auto"/>
                <w:bottom w:val="none" w:sz="0" w:space="0" w:color="auto"/>
                <w:right w:val="none" w:sz="0" w:space="0" w:color="auto"/>
              </w:divBdr>
            </w:div>
            <w:div w:id="1037194664">
              <w:marLeft w:val="0"/>
              <w:marRight w:val="0"/>
              <w:marTop w:val="0"/>
              <w:marBottom w:val="0"/>
              <w:divBdr>
                <w:top w:val="none" w:sz="0" w:space="0" w:color="auto"/>
                <w:left w:val="none" w:sz="0" w:space="0" w:color="auto"/>
                <w:bottom w:val="none" w:sz="0" w:space="0" w:color="auto"/>
                <w:right w:val="none" w:sz="0" w:space="0" w:color="auto"/>
              </w:divBdr>
            </w:div>
            <w:div w:id="788595027">
              <w:marLeft w:val="0"/>
              <w:marRight w:val="0"/>
              <w:marTop w:val="0"/>
              <w:marBottom w:val="0"/>
              <w:divBdr>
                <w:top w:val="none" w:sz="0" w:space="0" w:color="auto"/>
                <w:left w:val="none" w:sz="0" w:space="0" w:color="auto"/>
                <w:bottom w:val="none" w:sz="0" w:space="0" w:color="auto"/>
                <w:right w:val="none" w:sz="0" w:space="0" w:color="auto"/>
              </w:divBdr>
            </w:div>
            <w:div w:id="1496188288">
              <w:marLeft w:val="0"/>
              <w:marRight w:val="0"/>
              <w:marTop w:val="0"/>
              <w:marBottom w:val="0"/>
              <w:divBdr>
                <w:top w:val="none" w:sz="0" w:space="0" w:color="auto"/>
                <w:left w:val="none" w:sz="0" w:space="0" w:color="auto"/>
                <w:bottom w:val="none" w:sz="0" w:space="0" w:color="auto"/>
                <w:right w:val="none" w:sz="0" w:space="0" w:color="auto"/>
              </w:divBdr>
            </w:div>
            <w:div w:id="428088539">
              <w:marLeft w:val="0"/>
              <w:marRight w:val="0"/>
              <w:marTop w:val="0"/>
              <w:marBottom w:val="0"/>
              <w:divBdr>
                <w:top w:val="none" w:sz="0" w:space="0" w:color="auto"/>
                <w:left w:val="none" w:sz="0" w:space="0" w:color="auto"/>
                <w:bottom w:val="none" w:sz="0" w:space="0" w:color="auto"/>
                <w:right w:val="none" w:sz="0" w:space="0" w:color="auto"/>
              </w:divBdr>
            </w:div>
            <w:div w:id="1083526561">
              <w:marLeft w:val="0"/>
              <w:marRight w:val="0"/>
              <w:marTop w:val="0"/>
              <w:marBottom w:val="0"/>
              <w:divBdr>
                <w:top w:val="none" w:sz="0" w:space="0" w:color="auto"/>
                <w:left w:val="none" w:sz="0" w:space="0" w:color="auto"/>
                <w:bottom w:val="none" w:sz="0" w:space="0" w:color="auto"/>
                <w:right w:val="none" w:sz="0" w:space="0" w:color="auto"/>
              </w:divBdr>
              <w:divsChild>
                <w:div w:id="2137943311">
                  <w:marLeft w:val="0"/>
                  <w:marRight w:val="0"/>
                  <w:marTop w:val="0"/>
                  <w:marBottom w:val="0"/>
                  <w:divBdr>
                    <w:top w:val="none" w:sz="0" w:space="0" w:color="auto"/>
                    <w:left w:val="none" w:sz="0" w:space="0" w:color="auto"/>
                    <w:bottom w:val="none" w:sz="0" w:space="0" w:color="auto"/>
                    <w:right w:val="none" w:sz="0" w:space="0" w:color="auto"/>
                  </w:divBdr>
                </w:div>
                <w:div w:id="325742071">
                  <w:marLeft w:val="0"/>
                  <w:marRight w:val="0"/>
                  <w:marTop w:val="0"/>
                  <w:marBottom w:val="0"/>
                  <w:divBdr>
                    <w:top w:val="none" w:sz="0" w:space="0" w:color="auto"/>
                    <w:left w:val="none" w:sz="0" w:space="0" w:color="auto"/>
                    <w:bottom w:val="none" w:sz="0" w:space="0" w:color="auto"/>
                    <w:right w:val="none" w:sz="0" w:space="0" w:color="auto"/>
                  </w:divBdr>
                </w:div>
                <w:div w:id="1134176235">
                  <w:marLeft w:val="0"/>
                  <w:marRight w:val="0"/>
                  <w:marTop w:val="0"/>
                  <w:marBottom w:val="0"/>
                  <w:divBdr>
                    <w:top w:val="none" w:sz="0" w:space="0" w:color="auto"/>
                    <w:left w:val="none" w:sz="0" w:space="0" w:color="auto"/>
                    <w:bottom w:val="none" w:sz="0" w:space="0" w:color="auto"/>
                    <w:right w:val="none" w:sz="0" w:space="0" w:color="auto"/>
                  </w:divBdr>
                </w:div>
                <w:div w:id="1593734130">
                  <w:marLeft w:val="0"/>
                  <w:marRight w:val="0"/>
                  <w:marTop w:val="0"/>
                  <w:marBottom w:val="0"/>
                  <w:divBdr>
                    <w:top w:val="none" w:sz="0" w:space="0" w:color="auto"/>
                    <w:left w:val="none" w:sz="0" w:space="0" w:color="auto"/>
                    <w:bottom w:val="none" w:sz="0" w:space="0" w:color="auto"/>
                    <w:right w:val="none" w:sz="0" w:space="0" w:color="auto"/>
                  </w:divBdr>
                </w:div>
              </w:divsChild>
            </w:div>
            <w:div w:id="502401069">
              <w:marLeft w:val="0"/>
              <w:marRight w:val="0"/>
              <w:marTop w:val="0"/>
              <w:marBottom w:val="0"/>
              <w:divBdr>
                <w:top w:val="none" w:sz="0" w:space="0" w:color="auto"/>
                <w:left w:val="none" w:sz="0" w:space="0" w:color="auto"/>
                <w:bottom w:val="none" w:sz="0" w:space="0" w:color="auto"/>
                <w:right w:val="none" w:sz="0" w:space="0" w:color="auto"/>
              </w:divBdr>
              <w:divsChild>
                <w:div w:id="81063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e265ce-35e5-406a-a577-2d283f2c1c3a"/>
    <ds:schemaRef ds:uri="http://purl.org/dc/elements/1.1/"/>
    <ds:schemaRef ds:uri="http://schemas.microsoft.com/office/2006/metadata/properties"/>
    <ds:schemaRef ds:uri="1c6e7719-fcdf-43d9-93c1-f401bd4c4107"/>
    <ds:schemaRef ds:uri="http://www.w3.org/XML/1998/namespace"/>
    <ds:schemaRef ds:uri="http://purl.org/dc/dcmitype/"/>
  </ds:schemaRefs>
</ds:datastoreItem>
</file>

<file path=customXml/itemProps2.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5</Pages>
  <Words>2157</Words>
  <Characters>12296</Characters>
  <Application>Microsoft Office Word</Application>
  <DocSecurity>0</DocSecurity>
  <Lines>102</Lines>
  <Paragraphs>28</Paragraphs>
  <ScaleCrop>false</ScaleCrop>
  <Company>Vivo</Company>
  <LinksUpToDate>false</LinksUpToDate>
  <CharactersWithSpaces>14425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427</cp:revision>
  <cp:lastPrinted>2011-08-03T08:36:00Z</cp:lastPrinted>
  <dcterms:created xsi:type="dcterms:W3CDTF">2022-09-21T19:27:00Z</dcterms:created>
  <dcterms:modified xsi:type="dcterms:W3CDTF">2023-02-16T18:40:00Z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